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8F" w:rsidRDefault="007D7AE2" w:rsidP="004D6658">
      <w:pPr>
        <w:pStyle w:val="Title"/>
        <w:rPr>
          <w:sz w:val="40"/>
        </w:rPr>
      </w:pPr>
      <w:r>
        <w:rPr>
          <w:sz w:val="40"/>
        </w:rPr>
        <w:t>CLARIN-NL</w:t>
      </w:r>
      <w:bookmarkStart w:id="0" w:name="_GoBack"/>
      <w:bookmarkEnd w:id="0"/>
      <w:r w:rsidR="001417BC">
        <w:rPr>
          <w:sz w:val="40"/>
        </w:rPr>
        <w:t xml:space="preserve"> 2012 </w:t>
      </w:r>
      <w:r w:rsidR="001105F7" w:rsidRPr="008F0749">
        <w:rPr>
          <w:sz w:val="40"/>
        </w:rPr>
        <w:t xml:space="preserve">ISOcat </w:t>
      </w:r>
      <w:r w:rsidR="001417BC">
        <w:rPr>
          <w:sz w:val="40"/>
        </w:rPr>
        <w:t xml:space="preserve">tutorial </w:t>
      </w:r>
      <w:r w:rsidR="00703668">
        <w:rPr>
          <w:sz w:val="40"/>
        </w:rPr>
        <w:t>–</w:t>
      </w:r>
      <w:r w:rsidR="001417BC">
        <w:rPr>
          <w:sz w:val="40"/>
        </w:rPr>
        <w:t xml:space="preserve"> exercises</w:t>
      </w:r>
      <w:r w:rsidR="00295727">
        <w:rPr>
          <w:sz w:val="40"/>
        </w:rPr>
        <w:t>:</w:t>
      </w:r>
      <w:r w:rsidR="00703668">
        <w:rPr>
          <w:sz w:val="40"/>
        </w:rPr>
        <w:t xml:space="preserve"> ‘answers’</w:t>
      </w:r>
    </w:p>
    <w:p w:rsidR="00E378BF" w:rsidRDefault="00E378BF" w:rsidP="00E378BF">
      <w:r>
        <w:rPr>
          <w:noProof/>
        </w:rPr>
        <w:drawing>
          <wp:inline distT="0" distB="0" distL="0" distR="0">
            <wp:extent cx="4834700" cy="2995200"/>
            <wp:effectExtent l="0" t="0" r="4445" b="0"/>
            <wp:docPr id="4112" name="Picture 4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Ocat-user-interface.e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4700" cy="299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8BF" w:rsidRDefault="00E378BF" w:rsidP="00E378BF">
      <w:pPr>
        <w:pStyle w:val="ListParagraph"/>
        <w:numPr>
          <w:ilvl w:val="0"/>
          <w:numId w:val="24"/>
        </w:numPr>
      </w:pPr>
      <w:r>
        <w:t>Welcome menu</w:t>
      </w:r>
    </w:p>
    <w:p w:rsidR="00E378BF" w:rsidRDefault="00E378BF" w:rsidP="00E378BF">
      <w:pPr>
        <w:pStyle w:val="ListParagraph"/>
        <w:numPr>
          <w:ilvl w:val="0"/>
          <w:numId w:val="24"/>
        </w:numPr>
      </w:pPr>
      <w:r>
        <w:t>Workspace explorer</w:t>
      </w:r>
    </w:p>
    <w:p w:rsidR="00E378BF" w:rsidRDefault="00E378BF" w:rsidP="00E378BF">
      <w:pPr>
        <w:pStyle w:val="ListParagraph"/>
        <w:numPr>
          <w:ilvl w:val="0"/>
          <w:numId w:val="24"/>
        </w:numPr>
      </w:pPr>
      <w:r>
        <w:t>Search box and options</w:t>
      </w:r>
    </w:p>
    <w:p w:rsidR="00E378BF" w:rsidRDefault="00E378BF" w:rsidP="00E378BF">
      <w:pPr>
        <w:pStyle w:val="ListParagraph"/>
        <w:numPr>
          <w:ilvl w:val="0"/>
          <w:numId w:val="24"/>
        </w:numPr>
      </w:pPr>
      <w:r>
        <w:t>Main area</w:t>
      </w:r>
    </w:p>
    <w:p w:rsidR="00E378BF" w:rsidRDefault="00E378BF" w:rsidP="00E378BF">
      <w:pPr>
        <w:pStyle w:val="ListParagraph"/>
        <w:numPr>
          <w:ilvl w:val="1"/>
          <w:numId w:val="24"/>
        </w:numPr>
      </w:pPr>
      <w:r>
        <w:t>DCS viewer</w:t>
      </w:r>
    </w:p>
    <w:p w:rsidR="00E378BF" w:rsidRDefault="00E378BF" w:rsidP="00E378BF">
      <w:pPr>
        <w:pStyle w:val="ListParagraph"/>
        <w:numPr>
          <w:ilvl w:val="1"/>
          <w:numId w:val="24"/>
        </w:numPr>
      </w:pPr>
      <w:r>
        <w:t>DC viewer</w:t>
      </w:r>
    </w:p>
    <w:p w:rsidR="00E378BF" w:rsidRPr="00E378BF" w:rsidRDefault="00E378BF" w:rsidP="00E378BF">
      <w:pPr>
        <w:pStyle w:val="ListParagraph"/>
        <w:numPr>
          <w:ilvl w:val="0"/>
          <w:numId w:val="24"/>
        </w:numPr>
      </w:pPr>
      <w:r>
        <w:t>Basket area</w:t>
      </w:r>
    </w:p>
    <w:p w:rsidR="004D6658" w:rsidRDefault="004D6658" w:rsidP="004D6658">
      <w:r w:rsidRPr="004D6658">
        <w:rPr>
          <w:noProof/>
        </w:rPr>
        <w:drawing>
          <wp:inline distT="0" distB="0" distL="0" distR="0" wp14:anchorId="3CF21FB4" wp14:editId="2FB723B8">
            <wp:extent cx="1188000" cy="529200"/>
            <wp:effectExtent l="0" t="0" r="0" b="4445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5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  <a:extLst/>
                  </pic:spPr>
                </pic:pic>
              </a:graphicData>
            </a:graphic>
          </wp:inline>
        </w:drawing>
      </w:r>
    </w:p>
    <w:p w:rsidR="004D6658" w:rsidRDefault="004D6658" w:rsidP="004D6658">
      <w:pPr>
        <w:pStyle w:val="ListParagraph"/>
        <w:numPr>
          <w:ilvl w:val="0"/>
          <w:numId w:val="9"/>
        </w:numPr>
      </w:pPr>
      <w:r>
        <w:t>If needed, register</w:t>
      </w:r>
      <w:r w:rsidR="005F2662">
        <w:t xml:space="preserve"> (</w:t>
      </w:r>
      <w:r w:rsidR="005F2662">
        <w:rPr>
          <w:noProof/>
        </w:rPr>
        <w:drawing>
          <wp:inline distT="0" distB="0" distL="0" distR="0" wp14:anchorId="423D0BEF" wp14:editId="3AFFB79A">
            <wp:extent cx="115200" cy="1152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" cy="1152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 w:rsidR="005F2662">
        <w:t>)</w:t>
      </w:r>
      <w:r>
        <w:t xml:space="preserve"> with the ISOcat </w:t>
      </w:r>
      <w:r w:rsidR="005F2662">
        <w:t>(</w:t>
      </w:r>
      <w:r>
        <w:t>testbed</w:t>
      </w:r>
      <w:r w:rsidR="005F2662">
        <w:t>)</w:t>
      </w:r>
      <w:r>
        <w:t xml:space="preserve">. </w:t>
      </w:r>
    </w:p>
    <w:p w:rsidR="004D6658" w:rsidRDefault="00C16929" w:rsidP="004D6658">
      <w:pPr>
        <w:pStyle w:val="ListParagraph"/>
        <w:numPr>
          <w:ilvl w:val="0"/>
          <w:numId w:val="9"/>
        </w:numPr>
      </w:pPr>
      <w:r>
        <w:t>L</w:t>
      </w:r>
      <w:r w:rsidR="004D6658">
        <w:t>og</w:t>
      </w:r>
      <w:r>
        <w:t xml:space="preserve"> </w:t>
      </w:r>
      <w:r w:rsidR="004D6658">
        <w:t xml:space="preserve">in </w:t>
      </w:r>
      <w:r w:rsidR="005F2662">
        <w:t>(</w:t>
      </w:r>
      <w:r w:rsidR="005F2662">
        <w:rPr>
          <w:noProof/>
        </w:rPr>
        <w:drawing>
          <wp:inline distT="0" distB="0" distL="0" distR="0" wp14:anchorId="4618A82D" wp14:editId="3AF88E5B">
            <wp:extent cx="115200" cy="1152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" cy="1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662">
        <w:t xml:space="preserve">) </w:t>
      </w:r>
      <w:r w:rsidR="004D6658">
        <w:t xml:space="preserve">to ISOcat </w:t>
      </w:r>
      <w:r w:rsidR="005F2662">
        <w:t xml:space="preserve">(testbed) </w:t>
      </w:r>
      <w:r w:rsidR="004D6658">
        <w:t>using your own credentials.</w:t>
      </w:r>
    </w:p>
    <w:p w:rsidR="004D6658" w:rsidRDefault="004D6658" w:rsidP="004D6658">
      <w:pPr>
        <w:pStyle w:val="ListParagraph"/>
        <w:numPr>
          <w:ilvl w:val="0"/>
          <w:numId w:val="9"/>
        </w:numPr>
      </w:pPr>
      <w:r>
        <w:t>Notice that after logging in you can change the automatic generated password into something easier to remember.</w:t>
      </w:r>
    </w:p>
    <w:p w:rsidR="00C16929" w:rsidRPr="004D6658" w:rsidRDefault="00C16929" w:rsidP="00C16929">
      <w:pPr>
        <w:pStyle w:val="ListParagraph"/>
        <w:numPr>
          <w:ilvl w:val="1"/>
          <w:numId w:val="9"/>
        </w:numPr>
      </w:pPr>
      <w:r>
        <w:t>You find the Password (</w:t>
      </w:r>
      <w:r w:rsidR="005F2662">
        <w:rPr>
          <w:noProof/>
        </w:rPr>
        <w:drawing>
          <wp:inline distT="0" distB="0" distL="0" distR="0" wp14:anchorId="73709310" wp14:editId="40C6C5D2">
            <wp:extent cx="115200" cy="1152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" cy="1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 menu item in the Welcome menu (</w:t>
      </w:r>
      <w:r w:rsidR="005F2662">
        <w:rPr>
          <w:noProof/>
        </w:rPr>
        <w:drawing>
          <wp:inline distT="0" distB="0" distL="0" distR="0" wp14:anchorId="4B3927C7" wp14:editId="6AB7E272">
            <wp:extent cx="115200" cy="1152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" cy="1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).</w:t>
      </w:r>
    </w:p>
    <w:p w:rsidR="00A42EB0" w:rsidRDefault="00A42EB0" w:rsidP="00A42EB0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6"/>
        </w:rPr>
      </w:pPr>
      <w:r w:rsidRPr="00A42EB0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z w:val="22"/>
          <w:szCs w:val="26"/>
        </w:rPr>
        <w:t>Hands-on</w:t>
      </w:r>
      <w:r w:rsidRPr="00A42EB0"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6"/>
        </w:rPr>
        <w:t xml:space="preserve">: ISOcat basics </w:t>
      </w:r>
    </w:p>
    <w:p w:rsidR="00A42EB0" w:rsidRDefault="004D6658" w:rsidP="00703668">
      <w:r w:rsidRPr="004D6658">
        <w:rPr>
          <w:noProof/>
        </w:rPr>
        <w:drawing>
          <wp:inline distT="0" distB="0" distL="0" distR="0" wp14:anchorId="4AE48C14" wp14:editId="3CDEC54A">
            <wp:extent cx="1875600" cy="705600"/>
            <wp:effectExtent l="0" t="0" r="0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600" cy="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  <a:extLst/>
                  </pic:spPr>
                </pic:pic>
              </a:graphicData>
            </a:graphic>
          </wp:inline>
        </w:drawing>
      </w:r>
    </w:p>
    <w:p w:rsidR="00B9126C" w:rsidRDefault="004D6658" w:rsidP="004D6658">
      <w:pPr>
        <w:pStyle w:val="ListParagraph"/>
        <w:numPr>
          <w:ilvl w:val="0"/>
          <w:numId w:val="10"/>
        </w:numPr>
      </w:pPr>
      <w:r>
        <w:t>Select ‘My Workspace’.</w:t>
      </w:r>
    </w:p>
    <w:p w:rsidR="004D6658" w:rsidRDefault="004D6658" w:rsidP="004D6658">
      <w:pPr>
        <w:pStyle w:val="ListParagraph"/>
        <w:numPr>
          <w:ilvl w:val="0"/>
          <w:numId w:val="10"/>
        </w:numPr>
      </w:pPr>
      <w:r>
        <w:t>In the right menu bar there a three buttons to create new groups</w:t>
      </w:r>
      <w:r w:rsidR="000763FE">
        <w:t xml:space="preserve"> (</w:t>
      </w:r>
      <w:r w:rsidR="000763FE">
        <w:rPr>
          <w:noProof/>
        </w:rPr>
        <w:drawing>
          <wp:inline distT="0" distB="0" distL="0" distR="0" wp14:anchorId="6A7BADBF" wp14:editId="25C56DCD">
            <wp:extent cx="115200" cy="115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" cy="1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63FE">
        <w:t>)</w:t>
      </w:r>
      <w:r>
        <w:t xml:space="preserve">,new selections </w:t>
      </w:r>
      <w:r w:rsidR="000763FE">
        <w:t>(</w:t>
      </w:r>
      <w:r w:rsidR="000763FE">
        <w:rPr>
          <w:noProof/>
        </w:rPr>
        <w:drawing>
          <wp:inline distT="0" distB="0" distL="0" distR="0" wp14:anchorId="78DEB150" wp14:editId="124547CC">
            <wp:extent cx="115200" cy="115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" cy="1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63FE">
        <w:t xml:space="preserve">) </w:t>
      </w:r>
      <w:r>
        <w:t>and new data categories</w:t>
      </w:r>
      <w:r w:rsidR="00F126A2">
        <w:t xml:space="preserve"> (</w:t>
      </w:r>
      <w:r w:rsidR="00F126A2">
        <w:rPr>
          <w:noProof/>
        </w:rPr>
        <w:drawing>
          <wp:inline distT="0" distB="0" distL="0" distR="0" wp14:anchorId="769CCF66" wp14:editId="78CD646D">
            <wp:extent cx="115200" cy="115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5200" cy="1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6A2">
        <w:t>)</w:t>
      </w:r>
      <w:r w:rsidR="00B9126C">
        <w:t>.</w:t>
      </w:r>
    </w:p>
    <w:p w:rsidR="00B9126C" w:rsidRDefault="00B9126C" w:rsidP="00B9126C">
      <w:pPr>
        <w:pStyle w:val="ListParagraph"/>
      </w:pPr>
      <w:r>
        <w:t>Create a new group (</w:t>
      </w:r>
      <w:r>
        <w:rPr>
          <w:noProof/>
        </w:rPr>
        <w:drawing>
          <wp:inline distT="0" distB="0" distL="0" distR="0" wp14:anchorId="23DA4C3A" wp14:editId="08AB032C">
            <wp:extent cx="115200" cy="115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" cy="1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).</w:t>
      </w:r>
    </w:p>
    <w:p w:rsidR="00B9126C" w:rsidRDefault="00B9126C" w:rsidP="00B9126C">
      <w:r w:rsidRPr="00B9126C">
        <w:rPr>
          <w:noProof/>
        </w:rPr>
        <w:drawing>
          <wp:inline distT="0" distB="0" distL="0" distR="0" wp14:anchorId="7A7610E4" wp14:editId="1E73042D">
            <wp:extent cx="3553970" cy="1527243"/>
            <wp:effectExtent l="0" t="0" r="8890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2" b="38885"/>
                    <a:stretch/>
                  </pic:blipFill>
                  <pic:spPr bwMode="auto">
                    <a:xfrm>
                      <a:off x="0" y="0"/>
                      <a:ext cx="3558292" cy="15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126C" w:rsidRDefault="00B9126C" w:rsidP="00B9126C">
      <w:pPr>
        <w:pStyle w:val="ListParagraph"/>
        <w:numPr>
          <w:ilvl w:val="0"/>
          <w:numId w:val="11"/>
        </w:numPr>
      </w:pPr>
      <w:r>
        <w:lastRenderedPageBreak/>
        <w:t>Give your new group a unique name. This name has to be globally unique as when the group makes selections public it will appear in the workspace of every ISOcat user.</w:t>
      </w:r>
    </w:p>
    <w:p w:rsidR="00B9126C" w:rsidRDefault="00B9126C" w:rsidP="00B9126C">
      <w:pPr>
        <w:pStyle w:val="ListParagraph"/>
        <w:numPr>
          <w:ilvl w:val="0"/>
          <w:numId w:val="11"/>
        </w:numPr>
      </w:pPr>
      <w:r>
        <w:t>Describe the purpose of the group.</w:t>
      </w:r>
    </w:p>
    <w:p w:rsidR="00B9126C" w:rsidRDefault="00B9126C" w:rsidP="00B9126C">
      <w:pPr>
        <w:pStyle w:val="ListParagraph"/>
        <w:numPr>
          <w:ilvl w:val="0"/>
          <w:numId w:val="11"/>
        </w:numPr>
      </w:pPr>
      <w:r>
        <w:t>Add users to the group (</w:t>
      </w:r>
      <w:r>
        <w:rPr>
          <w:noProof/>
        </w:rPr>
        <w:drawing>
          <wp:inline distT="0" distB="0" distL="0" distR="0" wp14:anchorId="0843CC5E" wp14:editId="2C03DBCF">
            <wp:extent cx="115200" cy="115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" cy="1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). These users will receive an invitation email and will only have access to the selections and categories shared with the group once they have accepted the invitation.</w:t>
      </w:r>
    </w:p>
    <w:p w:rsidR="00B9126C" w:rsidRDefault="00B9126C" w:rsidP="00B9126C">
      <w:pPr>
        <w:pStyle w:val="ListParagraph"/>
        <w:numPr>
          <w:ilvl w:val="0"/>
          <w:numId w:val="11"/>
        </w:numPr>
      </w:pPr>
      <w:r>
        <w:t>Save the new or changed group (</w:t>
      </w:r>
      <w:r>
        <w:rPr>
          <w:noProof/>
        </w:rPr>
        <w:drawing>
          <wp:inline distT="0" distB="0" distL="0" distR="0" wp14:anchorId="2004CD63" wp14:editId="734820A2">
            <wp:extent cx="115200" cy="115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" cy="1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).</w:t>
      </w:r>
    </w:p>
    <w:p w:rsidR="00737F06" w:rsidRDefault="00A42EB0" w:rsidP="00EC423B">
      <w:pPr>
        <w:pStyle w:val="Heading2"/>
      </w:pPr>
      <w:r w:rsidRPr="00A42EB0">
        <w:rPr>
          <w:i/>
          <w:iCs/>
        </w:rPr>
        <w:t>Hands-on</w:t>
      </w:r>
      <w:r w:rsidRPr="00A42EB0">
        <w:t>: creating Data Category selections</w:t>
      </w:r>
    </w:p>
    <w:p w:rsidR="00B9126C" w:rsidRDefault="00B9126C" w:rsidP="00A42EB0">
      <w:pPr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z w:val="22"/>
          <w:szCs w:val="26"/>
        </w:rPr>
      </w:pPr>
      <w:r w:rsidRPr="004D6658">
        <w:rPr>
          <w:noProof/>
        </w:rPr>
        <w:drawing>
          <wp:inline distT="0" distB="0" distL="0" distR="0" wp14:anchorId="4B2CBA98" wp14:editId="0DFF262C">
            <wp:extent cx="1875600" cy="705600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600" cy="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  <a:extLst/>
                  </pic:spPr>
                </pic:pic>
              </a:graphicData>
            </a:graphic>
          </wp:inline>
        </w:drawing>
      </w:r>
    </w:p>
    <w:p w:rsidR="00B9126C" w:rsidRDefault="00D97685" w:rsidP="00B9126C">
      <w:pPr>
        <w:pStyle w:val="ListParagraph"/>
        <w:numPr>
          <w:ilvl w:val="0"/>
          <w:numId w:val="13"/>
        </w:numPr>
      </w:pPr>
      <w:r>
        <w:t>Select ‘My Workspace’.</w:t>
      </w:r>
    </w:p>
    <w:p w:rsidR="00D97685" w:rsidRDefault="00D97685" w:rsidP="00B9126C">
      <w:pPr>
        <w:pStyle w:val="ListParagraph"/>
        <w:numPr>
          <w:ilvl w:val="0"/>
          <w:numId w:val="13"/>
        </w:numPr>
      </w:pPr>
      <w:r>
        <w:t>Create a new Data Category Selection (</w:t>
      </w:r>
      <w:r>
        <w:rPr>
          <w:noProof/>
        </w:rPr>
        <w:drawing>
          <wp:inline distT="0" distB="0" distL="0" distR="0" wp14:anchorId="3F1DF1D7" wp14:editId="7AD38FCE">
            <wp:extent cx="115200" cy="115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" cy="1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).</w:t>
      </w:r>
    </w:p>
    <w:p w:rsidR="00D97685" w:rsidRDefault="00D97685" w:rsidP="00B9126C">
      <w:pPr>
        <w:pStyle w:val="ListParagraph"/>
        <w:numPr>
          <w:ilvl w:val="0"/>
          <w:numId w:val="13"/>
        </w:numPr>
      </w:pPr>
      <w:r>
        <w:t>Give the selection a name.</w:t>
      </w:r>
    </w:p>
    <w:p w:rsidR="00D97685" w:rsidRDefault="00D97685" w:rsidP="00D97685">
      <w:r>
        <w:rPr>
          <w:noProof/>
        </w:rPr>
        <w:drawing>
          <wp:inline distT="0" distB="0" distL="0" distR="0" wp14:anchorId="5DAEFD36" wp14:editId="079134D8">
            <wp:extent cx="4824000" cy="385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24000" cy="38520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:rsidR="00D97685" w:rsidRDefault="00D97685" w:rsidP="00B9126C">
      <w:pPr>
        <w:pStyle w:val="ListParagraph"/>
        <w:numPr>
          <w:ilvl w:val="0"/>
          <w:numId w:val="13"/>
        </w:numPr>
      </w:pPr>
      <w:r>
        <w:t>The selection is directly loaded into the basket area.</w:t>
      </w:r>
    </w:p>
    <w:p w:rsidR="00231323" w:rsidRDefault="00D97685" w:rsidP="0095576B">
      <w:pPr>
        <w:pStyle w:val="ListParagraph"/>
        <w:numPr>
          <w:ilvl w:val="0"/>
          <w:numId w:val="13"/>
        </w:numPr>
      </w:pPr>
      <w:r>
        <w:t xml:space="preserve">Use the search </w:t>
      </w:r>
      <w:r w:rsidR="00530768">
        <w:t>(</w:t>
      </w:r>
      <w:r w:rsidR="00530768">
        <w:rPr>
          <w:noProof/>
        </w:rPr>
        <w:drawing>
          <wp:inline distT="0" distB="0" distL="0" distR="0" wp14:anchorId="5908BDB7" wp14:editId="3F62EDF9">
            <wp:extent cx="152400" cy="152400"/>
            <wp:effectExtent l="0" t="0" r="0" b="0"/>
            <wp:docPr id="4099" name="Picture 4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0768">
        <w:t xml:space="preserve">) </w:t>
      </w:r>
      <w:r>
        <w:t>and/or navigation facilities to find matching data categories for the database columns.</w:t>
      </w:r>
    </w:p>
    <w:p w:rsidR="00D97685" w:rsidRDefault="00D97685" w:rsidP="00D97685">
      <w:pPr>
        <w:pStyle w:val="ListParagraph"/>
        <w:numPr>
          <w:ilvl w:val="1"/>
          <w:numId w:val="13"/>
        </w:numPr>
      </w:pPr>
      <w:r>
        <w:t xml:space="preserve">For the generic columns, e.g., language name and code, one can </w:t>
      </w:r>
      <w:r w:rsidR="00530768">
        <w:t>use the options (</w:t>
      </w:r>
      <w:r w:rsidR="00755D04">
        <w:rPr>
          <w:noProof/>
        </w:rPr>
        <w:drawing>
          <wp:inline distT="0" distB="0" distL="0" distR="0" wp14:anchorId="5AAB40FC" wp14:editId="76E8DD3C">
            <wp:extent cx="152400" cy="152400"/>
            <wp:effectExtent l="0" t="0" r="0" b="0"/>
            <wp:docPr id="4100" name="Picture 4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0768">
        <w:t xml:space="preserve">) to </w:t>
      </w:r>
      <w:r>
        <w:t>restrict the search to the metadata domain</w:t>
      </w:r>
      <w:r w:rsidR="0095576B">
        <w:t>:</w:t>
      </w:r>
    </w:p>
    <w:p w:rsidR="00D97685" w:rsidRDefault="0095576B" w:rsidP="0095576B">
      <w:pPr>
        <w:pStyle w:val="ListParagraph"/>
        <w:ind w:left="1440"/>
      </w:pPr>
      <w:r>
        <w:rPr>
          <w:noProof/>
        </w:rPr>
        <w:drawing>
          <wp:inline distT="0" distB="0" distL="0" distR="0" wp14:anchorId="6B8C4310" wp14:editId="7EF5B31F">
            <wp:extent cx="1227600" cy="1800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27600" cy="180000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:rsidR="008C7D08" w:rsidRDefault="008C7D08" w:rsidP="008C7D08">
      <w:pPr>
        <w:pStyle w:val="ListParagraph"/>
        <w:numPr>
          <w:ilvl w:val="1"/>
          <w:numId w:val="13"/>
        </w:numPr>
      </w:pPr>
      <w:r>
        <w:t xml:space="preserve">You can also restrict the search </w:t>
      </w:r>
      <w:r w:rsidR="00FE3DF7">
        <w:t>to</w:t>
      </w:r>
      <w:r>
        <w:t xml:space="preserve"> name and identifier to find data categories named similar to the database columns</w:t>
      </w:r>
    </w:p>
    <w:p w:rsidR="0095576B" w:rsidRDefault="0095576B" w:rsidP="0095576B">
      <w:pPr>
        <w:pStyle w:val="ListParagraph"/>
        <w:numPr>
          <w:ilvl w:val="0"/>
          <w:numId w:val="15"/>
        </w:numPr>
      </w:pPr>
      <w:r>
        <w:t>If you found a proper category it can be added (</w:t>
      </w:r>
      <w:r>
        <w:rPr>
          <w:noProof/>
        </w:rPr>
        <w:drawing>
          <wp:inline distT="0" distB="0" distL="0" distR="0" wp14:anchorId="214C420C" wp14:editId="058E994F">
            <wp:extent cx="115200" cy="115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" cy="1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 to the basket.</w:t>
      </w:r>
    </w:p>
    <w:p w:rsidR="0095576B" w:rsidRDefault="008C7D08" w:rsidP="0095576B">
      <w:pPr>
        <w:pStyle w:val="ListParagraph"/>
        <w:numPr>
          <w:ilvl w:val="0"/>
          <w:numId w:val="15"/>
        </w:numPr>
      </w:pPr>
      <w:r>
        <w:t>The following is a</w:t>
      </w:r>
      <w:r w:rsidR="0095576B">
        <w:t xml:space="preserve"> possible selection of Data Categories:</w:t>
      </w:r>
    </w:p>
    <w:p w:rsidR="0095576B" w:rsidRDefault="0095576B" w:rsidP="0095576B">
      <w:pPr>
        <w:pStyle w:val="ListParagraph"/>
      </w:pPr>
      <w:r>
        <w:rPr>
          <w:noProof/>
        </w:rPr>
        <w:drawing>
          <wp:inline distT="0" distB="0" distL="0" distR="0" wp14:anchorId="6A3A4E5F" wp14:editId="42B36787">
            <wp:extent cx="4809600" cy="727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809600" cy="72720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:rsidR="0095576B" w:rsidRDefault="00313F67" w:rsidP="0095576B">
      <w:pPr>
        <w:pStyle w:val="ListParagraph"/>
        <w:numPr>
          <w:ilvl w:val="0"/>
          <w:numId w:val="16"/>
        </w:numPr>
      </w:pPr>
      <w:r>
        <w:t>Why might you</w:t>
      </w:r>
      <w:r w:rsidR="0095576B">
        <w:t xml:space="preserve"> prefer these categories?</w:t>
      </w:r>
    </w:p>
    <w:tbl>
      <w:tblPr>
        <w:tblStyle w:val="LightList-Accent1"/>
        <w:tblW w:w="0" w:type="auto"/>
        <w:tblLook w:val="00A0" w:firstRow="1" w:lastRow="0" w:firstColumn="1" w:lastColumn="0" w:noHBand="0" w:noVBand="0"/>
      </w:tblPr>
      <w:tblGrid>
        <w:gridCol w:w="1504"/>
        <w:gridCol w:w="2290"/>
        <w:gridCol w:w="6168"/>
      </w:tblGrid>
      <w:tr w:rsidR="00F500F0" w:rsidTr="00F500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</w:tcPr>
          <w:p w:rsidR="00F500F0" w:rsidRDefault="00F500F0" w:rsidP="00D97685">
            <w:r>
              <w:t>Column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0" w:type="dxa"/>
          </w:tcPr>
          <w:p w:rsidR="00F500F0" w:rsidRDefault="00F500F0" w:rsidP="00D97685">
            <w:r>
              <w:t>Data Category</w:t>
            </w:r>
          </w:p>
        </w:tc>
        <w:tc>
          <w:tcPr>
            <w:tcW w:w="6168" w:type="dxa"/>
          </w:tcPr>
          <w:p w:rsidR="00F500F0" w:rsidRDefault="00F500F0" w:rsidP="00D976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Discussion</w:t>
            </w:r>
          </w:p>
        </w:tc>
      </w:tr>
      <w:tr w:rsidR="00F500F0" w:rsidTr="00F50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</w:tcPr>
          <w:p w:rsidR="00F500F0" w:rsidRDefault="00F500F0" w:rsidP="00D97685">
            <w:r>
              <w:t>language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0" w:type="dxa"/>
          </w:tcPr>
          <w:p w:rsidR="00F500F0" w:rsidRDefault="00F500F0" w:rsidP="00D97685">
            <w:r>
              <w:t>/</w:t>
            </w:r>
            <w:r w:rsidRPr="00F500F0">
              <w:rPr>
                <w:i/>
              </w:rPr>
              <w:t>language name</w:t>
            </w:r>
            <w:r>
              <w:t>/ (</w:t>
            </w:r>
            <w:hyperlink r:id="rId27" w:tgtFrame="other" w:history="1">
              <w:r>
                <w:rPr>
                  <w:rStyle w:val="Hyperlink"/>
                </w:rPr>
                <w:t>DC-2484</w:t>
              </w:r>
            </w:hyperlink>
            <w:r>
              <w:t>)</w:t>
            </w:r>
          </w:p>
        </w:tc>
        <w:tc>
          <w:tcPr>
            <w:tcW w:w="6168" w:type="dxa"/>
          </w:tcPr>
          <w:p w:rsidR="00F500F0" w:rsidRDefault="00F500F0" w:rsidP="00D97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owner of this data category is Athens Core, which is actually a group of people working in the metadata thematic domain. This means the category is reviewed by a number of people and likely to be standardized somewhere in the future. However, it might still undergo chances.</w:t>
            </w:r>
          </w:p>
        </w:tc>
      </w:tr>
      <w:tr w:rsidR="00F500F0" w:rsidTr="00F50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</w:tcPr>
          <w:p w:rsidR="00F500F0" w:rsidRDefault="00F500F0" w:rsidP="00D97685">
            <w:r>
              <w:t>language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0" w:type="dxa"/>
          </w:tcPr>
          <w:p w:rsidR="00F500F0" w:rsidRPr="00F500F0" w:rsidRDefault="00F500F0" w:rsidP="00D97685">
            <w:r w:rsidRPr="00F500F0">
              <w:t>/</w:t>
            </w:r>
            <w:r w:rsidRPr="00F500F0">
              <w:rPr>
                <w:i/>
              </w:rPr>
              <w:t>language ID</w:t>
            </w:r>
            <w:r w:rsidRPr="00F500F0">
              <w:t>/</w:t>
            </w:r>
            <w:r>
              <w:t xml:space="preserve"> (</w:t>
            </w:r>
            <w:hyperlink r:id="rId28" w:tgtFrame="other" w:history="1">
              <w:r>
                <w:rPr>
                  <w:rStyle w:val="Hyperlink"/>
                </w:rPr>
                <w:t>DC-2482</w:t>
              </w:r>
            </w:hyperlink>
            <w:r>
              <w:t>)</w:t>
            </w:r>
          </w:p>
        </w:tc>
        <w:tc>
          <w:tcPr>
            <w:tcW w:w="6168" w:type="dxa"/>
          </w:tcPr>
          <w:p w:rsidR="00F500F0" w:rsidRDefault="00F500F0" w:rsidP="00955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Same as for /</w:t>
            </w:r>
            <w:r w:rsidRPr="00231323">
              <w:rPr>
                <w:i/>
              </w:rPr>
              <w:t>language name</w:t>
            </w:r>
            <w:r>
              <w:t>/. Notice that /</w:t>
            </w:r>
            <w:r w:rsidRPr="00F500F0">
              <w:rPr>
                <w:i/>
              </w:rPr>
              <w:t>language ID</w:t>
            </w:r>
            <w:r>
              <w:t xml:space="preserve">/ doesn’t </w:t>
            </w:r>
            <w:r w:rsidR="0095576B">
              <w:t>list all valid ISO 639-3 codes (</w:t>
            </w:r>
            <w:r>
              <w:t xml:space="preserve">this </w:t>
            </w:r>
            <w:r w:rsidR="0095576B">
              <w:t>conceptual domain</w:t>
            </w:r>
            <w:r>
              <w:t xml:space="preserve"> is too big to be </w:t>
            </w:r>
            <w:r w:rsidR="0095576B">
              <w:t xml:space="preserve">conveniently managed </w:t>
            </w:r>
            <w:r>
              <w:t>in ISOcat</w:t>
            </w:r>
            <w:r w:rsidR="0095576B">
              <w:t>), but it does define a constraint to limit the value domain to 3 lower case letters.</w:t>
            </w:r>
          </w:p>
        </w:tc>
      </w:tr>
      <w:tr w:rsidR="00F500F0" w:rsidTr="00F50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vMerge w:val="restart"/>
          </w:tcPr>
          <w:p w:rsidR="00F500F0" w:rsidRDefault="00B13B83" w:rsidP="00D97685">
            <w:r>
              <w:t>S</w:t>
            </w:r>
            <w:r w:rsidR="00F500F0">
              <w:t>ource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0" w:type="dxa"/>
          </w:tcPr>
          <w:p w:rsidR="00F500F0" w:rsidRDefault="00F500F0" w:rsidP="00F500F0">
            <w:r>
              <w:t>/</w:t>
            </w:r>
            <w:r w:rsidRPr="00F500F0">
              <w:rPr>
                <w:i/>
              </w:rPr>
              <w:t>source</w:t>
            </w:r>
            <w:r>
              <w:t>/ (</w:t>
            </w:r>
            <w:hyperlink r:id="rId29" w:tgtFrame="other" w:history="1">
              <w:r>
                <w:rPr>
                  <w:rStyle w:val="Hyperlink"/>
                </w:rPr>
                <w:t>DC-3759</w:t>
              </w:r>
            </w:hyperlink>
            <w:r>
              <w:t>)</w:t>
            </w:r>
          </w:p>
        </w:tc>
        <w:tc>
          <w:tcPr>
            <w:tcW w:w="6168" w:type="dxa"/>
            <w:vMerge w:val="restart"/>
          </w:tcPr>
          <w:p w:rsidR="00F500F0" w:rsidRDefault="00F500F0" w:rsidP="00D97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MDF /</w:t>
            </w:r>
            <w:r w:rsidRPr="00231323">
              <w:rPr>
                <w:i/>
              </w:rPr>
              <w:t>source</w:t>
            </w:r>
            <w:r>
              <w:t>/ is targeted towards people as the source of information. We do have a separate column for informant. If this column is only used for bibliographical references the /</w:t>
            </w:r>
            <w:r w:rsidRPr="00231323">
              <w:rPr>
                <w:i/>
              </w:rPr>
              <w:t>original</w:t>
            </w:r>
            <w:r>
              <w:t xml:space="preserve"> </w:t>
            </w:r>
            <w:r w:rsidRPr="00231323">
              <w:rPr>
                <w:i/>
              </w:rPr>
              <w:t>source</w:t>
            </w:r>
            <w:r>
              <w:t>/ owned by Athens Core.</w:t>
            </w:r>
          </w:p>
        </w:tc>
      </w:tr>
      <w:tr w:rsidR="00F500F0" w:rsidTr="00F50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  <w:vMerge/>
          </w:tcPr>
          <w:p w:rsidR="00F500F0" w:rsidRDefault="00F500F0" w:rsidP="00D97685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0" w:type="dxa"/>
          </w:tcPr>
          <w:p w:rsidR="00F500F0" w:rsidRDefault="00F500F0" w:rsidP="00D97685">
            <w:r>
              <w:t>/</w:t>
            </w:r>
            <w:r w:rsidRPr="00F500F0">
              <w:rPr>
                <w:i/>
              </w:rPr>
              <w:t>original source</w:t>
            </w:r>
            <w:r>
              <w:t>/ (</w:t>
            </w:r>
            <w:hyperlink r:id="rId30" w:tgtFrame="other" w:history="1">
              <w:r>
                <w:rPr>
                  <w:rStyle w:val="Hyperlink"/>
                </w:rPr>
                <w:t>DC-2534</w:t>
              </w:r>
            </w:hyperlink>
            <w:r>
              <w:t>)</w:t>
            </w:r>
          </w:p>
        </w:tc>
        <w:tc>
          <w:tcPr>
            <w:tcW w:w="6168" w:type="dxa"/>
            <w:vMerge/>
          </w:tcPr>
          <w:p w:rsidR="00F500F0" w:rsidRDefault="00F500F0" w:rsidP="00D97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00F0" w:rsidTr="00F50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</w:tcPr>
          <w:p w:rsidR="00F500F0" w:rsidRDefault="00F500F0" w:rsidP="00D97685">
            <w:r>
              <w:t>informant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0" w:type="dxa"/>
          </w:tcPr>
          <w:p w:rsidR="00F500F0" w:rsidRDefault="00F500F0" w:rsidP="00D97685">
            <w:r>
              <w:t>/</w:t>
            </w:r>
            <w:r w:rsidRPr="00F500F0">
              <w:rPr>
                <w:i/>
              </w:rPr>
              <w:t>source</w:t>
            </w:r>
            <w:r>
              <w:t>/ (</w:t>
            </w:r>
            <w:hyperlink r:id="rId31" w:tgtFrame="other" w:history="1">
              <w:r>
                <w:rPr>
                  <w:rStyle w:val="Hyperlink"/>
                </w:rPr>
                <w:t>DC-3759</w:t>
              </w:r>
            </w:hyperlink>
            <w:r>
              <w:t>)</w:t>
            </w:r>
          </w:p>
        </w:tc>
        <w:tc>
          <w:tcPr>
            <w:tcW w:w="6168" w:type="dxa"/>
          </w:tcPr>
          <w:p w:rsidR="00F500F0" w:rsidRDefault="00F500F0" w:rsidP="00D97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See the source row above.</w:t>
            </w:r>
          </w:p>
        </w:tc>
      </w:tr>
    </w:tbl>
    <w:p w:rsidR="0095576B" w:rsidRDefault="0095576B" w:rsidP="0095576B"/>
    <w:p w:rsidR="0095576B" w:rsidRDefault="0095576B" w:rsidP="0095576B">
      <w:pPr>
        <w:pStyle w:val="ListParagraph"/>
        <w:numPr>
          <w:ilvl w:val="0"/>
          <w:numId w:val="16"/>
        </w:numPr>
        <w:ind w:left="709" w:hanging="425"/>
      </w:pPr>
      <w:r>
        <w:lastRenderedPageBreak/>
        <w:t>Save (</w:t>
      </w:r>
      <w:r>
        <w:rPr>
          <w:noProof/>
        </w:rPr>
        <w:drawing>
          <wp:inline distT="0" distB="0" distL="0" distR="0" wp14:anchorId="145459D8" wp14:editId="03076C32">
            <wp:extent cx="115200" cy="1152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" cy="1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 the changes to your Data Category Selection</w:t>
      </w:r>
      <w:r w:rsidR="0083736B">
        <w:t>.</w:t>
      </w:r>
    </w:p>
    <w:p w:rsidR="00770FB3" w:rsidRDefault="00770FB3" w:rsidP="00770FB3">
      <w:r>
        <w:rPr>
          <w:noProof/>
        </w:rPr>
        <w:drawing>
          <wp:inline distT="0" distB="0" distL="0" distR="0" wp14:anchorId="62BBB945" wp14:editId="60044FDC">
            <wp:extent cx="3510000" cy="666000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510000" cy="66600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:rsidR="00770FB3" w:rsidRDefault="00770FB3" w:rsidP="0095576B">
      <w:pPr>
        <w:pStyle w:val="ListParagraph"/>
        <w:numPr>
          <w:ilvl w:val="0"/>
          <w:numId w:val="16"/>
        </w:numPr>
        <w:ind w:left="709" w:hanging="425"/>
      </w:pPr>
      <w:r>
        <w:t>Load the DCS in the DCS viewer</w:t>
      </w:r>
      <w:r w:rsidR="0083736B">
        <w:t>.</w:t>
      </w:r>
    </w:p>
    <w:p w:rsidR="00770FB3" w:rsidRDefault="00770FB3" w:rsidP="0095576B">
      <w:pPr>
        <w:pStyle w:val="ListParagraph"/>
        <w:numPr>
          <w:ilvl w:val="0"/>
          <w:numId w:val="16"/>
        </w:numPr>
        <w:ind w:left="709" w:hanging="425"/>
      </w:pPr>
      <w:r>
        <w:t>Change the scope (</w:t>
      </w:r>
      <w:r>
        <w:rPr>
          <w:noProof/>
        </w:rPr>
        <w:drawing>
          <wp:inline distT="0" distB="0" distL="0" distR="0" wp14:anchorId="2F624A45" wp14:editId="68C7F349">
            <wp:extent cx="115200" cy="1152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" cy="1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 of the DCS</w:t>
      </w:r>
      <w:r w:rsidR="0083736B">
        <w:t>.</w:t>
      </w:r>
    </w:p>
    <w:p w:rsidR="00770FB3" w:rsidRDefault="00770FB3" w:rsidP="00770FB3">
      <w:r>
        <w:rPr>
          <w:noProof/>
        </w:rPr>
        <w:drawing>
          <wp:inline distT="0" distB="0" distL="0" distR="0" wp14:anchorId="33C08B67" wp14:editId="2302948B">
            <wp:extent cx="1915200" cy="1587600"/>
            <wp:effectExtent l="0" t="0" r="889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915200" cy="158760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:rsidR="00D97685" w:rsidRDefault="00770FB3" w:rsidP="00770FB3">
      <w:pPr>
        <w:pStyle w:val="ListParagraph"/>
        <w:numPr>
          <w:ilvl w:val="0"/>
          <w:numId w:val="17"/>
        </w:numPr>
      </w:pPr>
      <w:r>
        <w:t>Mark the checkbox for the group you’ve created before</w:t>
      </w:r>
      <w:r w:rsidR="0083736B">
        <w:t>.</w:t>
      </w:r>
    </w:p>
    <w:p w:rsidR="00770FB3" w:rsidRPr="00B9126C" w:rsidRDefault="00770FB3" w:rsidP="00770FB3">
      <w:pPr>
        <w:pStyle w:val="ListParagraph"/>
        <w:numPr>
          <w:ilvl w:val="0"/>
          <w:numId w:val="17"/>
        </w:numPr>
      </w:pPr>
      <w:r>
        <w:t>Save the changes (</w:t>
      </w:r>
      <w:r>
        <w:rPr>
          <w:noProof/>
        </w:rPr>
        <w:drawing>
          <wp:inline distT="0" distB="0" distL="0" distR="0" wp14:anchorId="16C3AF8C" wp14:editId="6C32393E">
            <wp:extent cx="115200" cy="1152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" cy="1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). Now all group members, who have accepted the invitation, will have access to this DCS.</w:t>
      </w:r>
    </w:p>
    <w:p w:rsidR="00A42EB0" w:rsidRPr="00A42EB0" w:rsidRDefault="00A42EB0" w:rsidP="00A42EB0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6"/>
        </w:rPr>
      </w:pPr>
      <w:r w:rsidRPr="00A42EB0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z w:val="22"/>
          <w:szCs w:val="26"/>
        </w:rPr>
        <w:t>Hands-on</w:t>
      </w:r>
      <w:r w:rsidRPr="00A42EB0"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6"/>
        </w:rPr>
        <w:t>: creating Data Category specifications</w:t>
      </w:r>
    </w:p>
    <w:p w:rsidR="00B13B83" w:rsidRDefault="00B13B83" w:rsidP="00B13B83">
      <w:pPr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z w:val="22"/>
          <w:szCs w:val="26"/>
        </w:rPr>
      </w:pPr>
      <w:r w:rsidRPr="004D6658">
        <w:rPr>
          <w:noProof/>
        </w:rPr>
        <w:drawing>
          <wp:inline distT="0" distB="0" distL="0" distR="0" wp14:anchorId="22DEAA03" wp14:editId="532CEFE8">
            <wp:extent cx="1875600" cy="705600"/>
            <wp:effectExtent l="0" t="0" r="0" b="0"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600" cy="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  <a:extLst/>
                  </pic:spPr>
                </pic:pic>
              </a:graphicData>
            </a:graphic>
          </wp:inline>
        </w:drawing>
      </w:r>
    </w:p>
    <w:p w:rsidR="00B13B83" w:rsidRDefault="00B13B83" w:rsidP="00B13B83">
      <w:pPr>
        <w:pStyle w:val="ListParagraph"/>
        <w:numPr>
          <w:ilvl w:val="0"/>
          <w:numId w:val="13"/>
        </w:numPr>
      </w:pPr>
      <w:r>
        <w:t>Select ‘My Workspace’.</w:t>
      </w:r>
    </w:p>
    <w:p w:rsidR="00B13B83" w:rsidRDefault="00B13B83" w:rsidP="00B13B83">
      <w:pPr>
        <w:pStyle w:val="ListParagraph"/>
        <w:numPr>
          <w:ilvl w:val="0"/>
          <w:numId w:val="13"/>
        </w:numPr>
      </w:pPr>
      <w:r>
        <w:t>Create a new Data Category (</w:t>
      </w:r>
      <w:r>
        <w:rPr>
          <w:noProof/>
        </w:rPr>
        <w:drawing>
          <wp:inline distT="0" distB="0" distL="0" distR="0" wp14:anchorId="48BE6DBF" wp14:editId="4C850A22">
            <wp:extent cx="115200" cy="1152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5200" cy="1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).</w:t>
      </w:r>
    </w:p>
    <w:p w:rsidR="00B13B83" w:rsidRDefault="00B13B83" w:rsidP="00B13B83">
      <w:r>
        <w:rPr>
          <w:noProof/>
        </w:rPr>
        <w:drawing>
          <wp:inline distT="0" distB="0" distL="0" distR="0" wp14:anchorId="0EABC12B" wp14:editId="445F9992">
            <wp:extent cx="4665600" cy="3031200"/>
            <wp:effectExtent l="0" t="0" r="190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665600" cy="303120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:rsidR="00B13B83" w:rsidRDefault="00B13B83" w:rsidP="00B13B83">
      <w:pPr>
        <w:pStyle w:val="ListParagraph"/>
        <w:numPr>
          <w:ilvl w:val="0"/>
          <w:numId w:val="20"/>
        </w:numPr>
      </w:pPr>
      <w:r>
        <w:t>Enter a camel case identifier.</w:t>
      </w:r>
    </w:p>
    <w:p w:rsidR="00B13B83" w:rsidRDefault="00B13B83" w:rsidP="00B13B83">
      <w:pPr>
        <w:pStyle w:val="ListParagraph"/>
        <w:numPr>
          <w:ilvl w:val="0"/>
          <w:numId w:val="20"/>
        </w:numPr>
      </w:pPr>
      <w:r>
        <w:t>Choose the proper type.</w:t>
      </w:r>
    </w:p>
    <w:p w:rsidR="00B13B83" w:rsidRDefault="005A1713" w:rsidP="00B13B83">
      <w:pPr>
        <w:pStyle w:val="ListParagraph"/>
        <w:numPr>
          <w:ilvl w:val="0"/>
          <w:numId w:val="20"/>
        </w:numPr>
      </w:pPr>
      <w:r>
        <w:t>Enter a justification, just in case you want to standardize the Data Category later</w:t>
      </w:r>
      <w:r w:rsidR="0083736B">
        <w:t>.</w:t>
      </w:r>
    </w:p>
    <w:p w:rsidR="005A1713" w:rsidRDefault="005A1713" w:rsidP="005A1713">
      <w:r>
        <w:rPr>
          <w:noProof/>
        </w:rPr>
        <w:lastRenderedPageBreak/>
        <w:drawing>
          <wp:inline distT="0" distB="0" distL="0" distR="0" wp14:anchorId="754BDD74" wp14:editId="0C4FE8F8">
            <wp:extent cx="4737600" cy="3088800"/>
            <wp:effectExtent l="0" t="0" r="635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737600" cy="308880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:rsidR="005A1713" w:rsidRDefault="005A1713" w:rsidP="005A1713">
      <w:pPr>
        <w:pStyle w:val="ListParagraph"/>
        <w:numPr>
          <w:ilvl w:val="0"/>
          <w:numId w:val="21"/>
        </w:numPr>
      </w:pPr>
      <w:r>
        <w:t>The abbreviation we use in our database we can enter as a Data Element Name.</w:t>
      </w:r>
    </w:p>
    <w:p w:rsidR="005A1713" w:rsidRDefault="005A1713" w:rsidP="005A1713">
      <w:pPr>
        <w:pStyle w:val="ListParagraph"/>
        <w:numPr>
          <w:ilvl w:val="0"/>
          <w:numId w:val="21"/>
        </w:numPr>
      </w:pPr>
      <w:r>
        <w:t>The English language section is mandatory and should contain at least one name and exactly one definition.</w:t>
      </w:r>
    </w:p>
    <w:p w:rsidR="005F2662" w:rsidRDefault="005F2662" w:rsidP="005A1713">
      <w:pPr>
        <w:pStyle w:val="ListParagraph"/>
        <w:numPr>
          <w:ilvl w:val="0"/>
          <w:numId w:val="21"/>
        </w:numPr>
      </w:pPr>
      <w:r>
        <w:t>Save (</w:t>
      </w:r>
      <w:r>
        <w:rPr>
          <w:noProof/>
        </w:rPr>
        <w:drawing>
          <wp:inline distT="0" distB="0" distL="0" distR="0" wp14:anchorId="10F67210" wp14:editId="598281B7">
            <wp:extent cx="115200" cy="1152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15200" cy="1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 the new Data Category.</w:t>
      </w:r>
    </w:p>
    <w:p w:rsidR="005A1713" w:rsidRDefault="005A1713" w:rsidP="005A1713">
      <w:r>
        <w:rPr>
          <w:noProof/>
        </w:rPr>
        <w:drawing>
          <wp:inline distT="0" distB="0" distL="0" distR="0" wp14:anchorId="5D08278E" wp14:editId="31445BA4">
            <wp:extent cx="1958400" cy="1634400"/>
            <wp:effectExtent l="0" t="0" r="3810" b="444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958400" cy="163440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:rsidR="005A1713" w:rsidRDefault="005A1713" w:rsidP="005A1713">
      <w:pPr>
        <w:pStyle w:val="ListParagraph"/>
        <w:numPr>
          <w:ilvl w:val="0"/>
          <w:numId w:val="22"/>
        </w:numPr>
      </w:pPr>
      <w:r>
        <w:t xml:space="preserve">Enter </w:t>
      </w:r>
      <w:r w:rsidR="005F2662">
        <w:t>a meaningful change description and save (</w:t>
      </w:r>
      <w:r w:rsidR="005F2662">
        <w:rPr>
          <w:noProof/>
        </w:rPr>
        <w:drawing>
          <wp:inline distT="0" distB="0" distL="0" distR="0" wp14:anchorId="7300EC35" wp14:editId="057299D4">
            <wp:extent cx="115200" cy="1152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15200" cy="1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662">
        <w:t>).</w:t>
      </w:r>
    </w:p>
    <w:p w:rsidR="005A1713" w:rsidRDefault="005A1713" w:rsidP="005A1713">
      <w:pPr>
        <w:pStyle w:val="ListParagraph"/>
        <w:numPr>
          <w:ilvl w:val="0"/>
          <w:numId w:val="22"/>
        </w:numPr>
      </w:pPr>
      <w:r>
        <w:t>Agree to add the new Data Category to the basket which contains the DCS we’re filling.</w:t>
      </w:r>
    </w:p>
    <w:p w:rsidR="005A1713" w:rsidRDefault="005A1713" w:rsidP="005A1713">
      <w:pPr>
        <w:pStyle w:val="ListParagraph"/>
        <w:numPr>
          <w:ilvl w:val="1"/>
          <w:numId w:val="22"/>
        </w:numPr>
      </w:pPr>
      <w:r>
        <w:t xml:space="preserve">Don’t forget to save </w:t>
      </w:r>
      <w:r w:rsidR="005F2662">
        <w:t>(</w:t>
      </w:r>
      <w:r w:rsidR="005F2662">
        <w:rPr>
          <w:noProof/>
        </w:rPr>
        <w:drawing>
          <wp:inline distT="0" distB="0" distL="0" distR="0" wp14:anchorId="528DE3BE" wp14:editId="2866D434">
            <wp:extent cx="115200" cy="1152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" cy="1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662">
        <w:t xml:space="preserve">) </w:t>
      </w:r>
      <w:r>
        <w:t>the changes.</w:t>
      </w:r>
    </w:p>
    <w:p w:rsidR="005A1713" w:rsidRDefault="005A1713" w:rsidP="005A1713">
      <w:pPr>
        <w:pStyle w:val="ListParagraph"/>
        <w:numPr>
          <w:ilvl w:val="0"/>
          <w:numId w:val="22"/>
        </w:numPr>
      </w:pPr>
      <w:r>
        <w:t>Same can be done for the other word order values and for the basic word order closed data category.</w:t>
      </w:r>
    </w:p>
    <w:p w:rsidR="005A1713" w:rsidRDefault="0083229C" w:rsidP="0083229C">
      <w:r>
        <w:rPr>
          <w:noProof/>
        </w:rPr>
        <w:drawing>
          <wp:inline distT="0" distB="0" distL="0" distR="0" wp14:anchorId="65DFD66F" wp14:editId="2BED79D0">
            <wp:extent cx="4669200" cy="3045600"/>
            <wp:effectExtent l="0" t="0" r="0" b="254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669200" cy="304560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:rsidR="0083229C" w:rsidRDefault="002D6C4A" w:rsidP="0083229C">
      <w:pPr>
        <w:pStyle w:val="ListParagraph"/>
        <w:numPr>
          <w:ilvl w:val="0"/>
          <w:numId w:val="23"/>
        </w:numPr>
      </w:pPr>
      <w:r>
        <w:lastRenderedPageBreak/>
        <w:t>Add (</w:t>
      </w:r>
      <w:r>
        <w:rPr>
          <w:noProof/>
        </w:rPr>
        <w:drawing>
          <wp:inline distT="0" distB="0" distL="0" distR="0" wp14:anchorId="157DCA9C" wp14:editId="15D27EC4">
            <wp:extent cx="115200" cy="115200"/>
            <wp:effectExtent l="0" t="0" r="0" b="0"/>
            <wp:docPr id="4096" name="Picture 4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" cy="1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and </w:t>
      </w:r>
      <w:r>
        <w:rPr>
          <w:noProof/>
        </w:rPr>
        <w:drawing>
          <wp:inline distT="0" distB="0" distL="0" distR="0" wp14:anchorId="00B0CD29" wp14:editId="19BB4C6D">
            <wp:extent cx="115200" cy="115200"/>
            <wp:effectExtent l="0" t="0" r="0" b="0"/>
            <wp:docPr id="4097" name="Picture 4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" cy="1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</w:t>
      </w:r>
      <w:r w:rsidR="0083229C">
        <w:t xml:space="preserve"> the simple Data Categories, like /</w:t>
      </w:r>
      <w:r w:rsidR="0083229C">
        <w:rPr>
          <w:i/>
        </w:rPr>
        <w:t>subject object verb</w:t>
      </w:r>
      <w:r w:rsidR="0083229C">
        <w:t>/</w:t>
      </w:r>
      <w:r>
        <w:t>,</w:t>
      </w:r>
      <w:r w:rsidR="0083229C">
        <w:t xml:space="preserve"> </w:t>
      </w:r>
      <w:r>
        <w:t>to</w:t>
      </w:r>
      <w:r w:rsidR="0083229C">
        <w:t xml:space="preserve"> the value domain of the closed complex Data Category /</w:t>
      </w:r>
      <w:r w:rsidR="0083229C" w:rsidRPr="0083229C">
        <w:rPr>
          <w:i/>
        </w:rPr>
        <w:t>basic</w:t>
      </w:r>
      <w:r w:rsidR="0083229C">
        <w:rPr>
          <w:i/>
        </w:rPr>
        <w:t> </w:t>
      </w:r>
      <w:r w:rsidR="0083229C" w:rsidRPr="0083229C">
        <w:rPr>
          <w:i/>
        </w:rPr>
        <w:t>word</w:t>
      </w:r>
      <w:r w:rsidR="0083229C">
        <w:t> </w:t>
      </w:r>
      <w:r w:rsidR="0083229C" w:rsidRPr="0083229C">
        <w:rPr>
          <w:i/>
        </w:rPr>
        <w:t>order</w:t>
      </w:r>
      <w:r w:rsidR="0083229C">
        <w:t>/</w:t>
      </w:r>
      <w:r w:rsidR="00533D80">
        <w:t>.</w:t>
      </w:r>
    </w:p>
    <w:p w:rsidR="00737F06" w:rsidRDefault="00A42EB0" w:rsidP="00737F06">
      <w:pPr>
        <w:pStyle w:val="Heading2"/>
      </w:pPr>
      <w:r w:rsidRPr="00A42EB0">
        <w:rPr>
          <w:i/>
        </w:rPr>
        <w:t>Take home</w:t>
      </w:r>
      <w:r>
        <w:t>: beyond ISOcat</w:t>
      </w:r>
      <w:r w:rsidR="000B4759">
        <w:t xml:space="preserve"> – data category references</w:t>
      </w:r>
    </w:p>
    <w:p w:rsidR="00737F06" w:rsidRDefault="007B2DEA" w:rsidP="00737F06">
      <w:r>
        <w:t>A database schema is defined using the Data Definition Language (DDL) part of SQL</w:t>
      </w:r>
      <w:r w:rsidR="00621059">
        <w:t>. Using @dcr:datcat annotations inside comments the DDL statements can be annotated:</w:t>
      </w:r>
    </w:p>
    <w:p w:rsidR="00621059" w:rsidRPr="00E9754D" w:rsidRDefault="00621059" w:rsidP="00737F06">
      <w:pPr>
        <w:rPr>
          <w:rFonts w:ascii="Courier New" w:hAnsi="Courier New" w:cs="Courier New"/>
          <w:sz w:val="16"/>
          <w:szCs w:val="16"/>
        </w:rPr>
      </w:pPr>
      <w:r w:rsidRPr="00E9754D">
        <w:rPr>
          <w:rFonts w:ascii="Courier New" w:hAnsi="Courier New" w:cs="Courier New"/>
          <w:color w:val="009600"/>
          <w:sz w:val="16"/>
          <w:szCs w:val="16"/>
        </w:rPr>
        <w:t>-- @dcr:datcat 'sov' http://www.isocat.org/datcat/DC-...</w:t>
      </w:r>
      <w:r w:rsidRPr="00E9754D">
        <w:rPr>
          <w:rFonts w:ascii="Courier New" w:hAnsi="Courier New" w:cs="Courier New"/>
          <w:color w:val="000000"/>
          <w:sz w:val="16"/>
          <w:szCs w:val="16"/>
        </w:rPr>
        <w:br/>
      </w:r>
      <w:r w:rsidRPr="00E9754D">
        <w:rPr>
          <w:rFonts w:ascii="Courier New" w:hAnsi="Courier New" w:cs="Courier New"/>
          <w:color w:val="009600"/>
          <w:sz w:val="16"/>
          <w:szCs w:val="16"/>
        </w:rPr>
        <w:t>-- @dcr:datcat 'svo' http://www.isocat.org/datcat/DC-...</w:t>
      </w:r>
      <w:r w:rsidRPr="00E9754D">
        <w:rPr>
          <w:rFonts w:ascii="Courier New" w:hAnsi="Courier New" w:cs="Courier New"/>
          <w:color w:val="000000"/>
          <w:sz w:val="16"/>
          <w:szCs w:val="16"/>
        </w:rPr>
        <w:br/>
      </w:r>
      <w:r w:rsidRPr="00E9754D">
        <w:rPr>
          <w:rFonts w:ascii="Courier New" w:hAnsi="Courier New" w:cs="Courier New"/>
          <w:color w:val="009600"/>
          <w:sz w:val="16"/>
          <w:szCs w:val="16"/>
        </w:rPr>
        <w:t>-- @dcr:datcat 'osv' http://www.isocat.org/datcat/DC-...</w:t>
      </w:r>
      <w:r w:rsidRPr="00E9754D">
        <w:rPr>
          <w:rFonts w:ascii="Courier New" w:hAnsi="Courier New" w:cs="Courier New"/>
          <w:color w:val="000000"/>
          <w:sz w:val="16"/>
          <w:szCs w:val="16"/>
        </w:rPr>
        <w:br/>
      </w:r>
      <w:r w:rsidRPr="00E9754D">
        <w:rPr>
          <w:rFonts w:ascii="Courier New" w:hAnsi="Courier New" w:cs="Courier New"/>
          <w:color w:val="009600"/>
          <w:sz w:val="16"/>
          <w:szCs w:val="16"/>
        </w:rPr>
        <w:t>-- @dcr:datcat 'ovs' http://www.isocat.org/datcat/DC-...</w:t>
      </w:r>
      <w:r w:rsidRPr="00E9754D">
        <w:rPr>
          <w:rFonts w:ascii="Courier New" w:hAnsi="Courier New" w:cs="Courier New"/>
          <w:color w:val="000000"/>
          <w:sz w:val="16"/>
          <w:szCs w:val="16"/>
        </w:rPr>
        <w:br/>
      </w:r>
      <w:r w:rsidRPr="00E9754D">
        <w:rPr>
          <w:rFonts w:ascii="Courier New" w:hAnsi="Courier New" w:cs="Courier New"/>
          <w:color w:val="009600"/>
          <w:sz w:val="16"/>
          <w:szCs w:val="16"/>
        </w:rPr>
        <w:t>-- @dcr:datcat 'vos' http://www.isocat.org/datcat/DC-...</w:t>
      </w:r>
      <w:r w:rsidRPr="00E9754D">
        <w:rPr>
          <w:rFonts w:ascii="Courier New" w:hAnsi="Courier New" w:cs="Courier New"/>
          <w:color w:val="000000"/>
          <w:sz w:val="16"/>
          <w:szCs w:val="16"/>
        </w:rPr>
        <w:br/>
      </w:r>
      <w:r w:rsidRPr="00E9754D">
        <w:rPr>
          <w:rFonts w:ascii="Courier New" w:hAnsi="Courier New" w:cs="Courier New"/>
          <w:color w:val="009600"/>
          <w:sz w:val="16"/>
          <w:szCs w:val="16"/>
        </w:rPr>
        <w:t>-- @dcr:datcat 'vso' http://www.isocat.org/datcat/DC-...</w:t>
      </w:r>
      <w:r w:rsidRPr="00E9754D">
        <w:rPr>
          <w:rFonts w:ascii="Courier New" w:hAnsi="Courier New" w:cs="Courier New"/>
          <w:color w:val="000000"/>
          <w:sz w:val="16"/>
          <w:szCs w:val="16"/>
        </w:rPr>
        <w:br/>
      </w:r>
      <w:r w:rsidRPr="00E9754D">
        <w:rPr>
          <w:rFonts w:ascii="Courier New" w:hAnsi="Courier New" w:cs="Courier New"/>
          <w:color w:val="000000"/>
          <w:sz w:val="16"/>
          <w:szCs w:val="16"/>
        </w:rPr>
        <w:br/>
      </w:r>
      <w:r w:rsidRPr="00E9754D">
        <w:rPr>
          <w:rFonts w:ascii="Courier New" w:hAnsi="Courier New" w:cs="Courier New"/>
          <w:color w:val="963246"/>
          <w:sz w:val="16"/>
          <w:szCs w:val="16"/>
        </w:rPr>
        <w:t>CREATE</w:t>
      </w:r>
      <w:r w:rsidRPr="00E9754D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E9754D">
        <w:rPr>
          <w:rFonts w:ascii="Courier New" w:hAnsi="Courier New" w:cs="Courier New"/>
          <w:color w:val="1E6496"/>
          <w:sz w:val="16"/>
          <w:szCs w:val="16"/>
        </w:rPr>
        <w:t>TYPE</w:t>
      </w:r>
      <w:r w:rsidRPr="00E9754D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E9754D">
        <w:rPr>
          <w:rFonts w:ascii="Courier New" w:hAnsi="Courier New" w:cs="Courier New"/>
          <w:color w:val="1E6496"/>
          <w:sz w:val="16"/>
          <w:szCs w:val="16"/>
        </w:rPr>
        <w:t>bwo</w:t>
      </w:r>
      <w:r w:rsidRPr="00E9754D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E9754D">
        <w:rPr>
          <w:rFonts w:ascii="Courier New" w:hAnsi="Courier New" w:cs="Courier New"/>
          <w:color w:val="963246"/>
          <w:sz w:val="16"/>
          <w:szCs w:val="16"/>
        </w:rPr>
        <w:t>AS</w:t>
      </w:r>
      <w:r w:rsidRPr="00E9754D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E9754D">
        <w:rPr>
          <w:rFonts w:ascii="Courier New" w:hAnsi="Courier New" w:cs="Courier New"/>
          <w:color w:val="1E6496"/>
          <w:sz w:val="16"/>
          <w:szCs w:val="16"/>
        </w:rPr>
        <w:t>ENUM</w:t>
      </w:r>
      <w:r w:rsidRPr="00E9754D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E9754D">
        <w:rPr>
          <w:rFonts w:ascii="Courier New" w:hAnsi="Courier New" w:cs="Courier New"/>
          <w:color w:val="960000"/>
          <w:sz w:val="16"/>
          <w:szCs w:val="16"/>
        </w:rPr>
        <w:t>(</w:t>
      </w:r>
      <w:r w:rsidRPr="00E9754D">
        <w:rPr>
          <w:rFonts w:ascii="Courier New" w:hAnsi="Courier New" w:cs="Courier New"/>
          <w:color w:val="000000"/>
          <w:sz w:val="16"/>
          <w:szCs w:val="16"/>
        </w:rPr>
        <w:br/>
        <w:t xml:space="preserve">    </w:t>
      </w:r>
      <w:r w:rsidRPr="00E9754D">
        <w:rPr>
          <w:rFonts w:ascii="Courier New" w:hAnsi="Courier New" w:cs="Courier New"/>
          <w:color w:val="0000FF"/>
          <w:sz w:val="16"/>
          <w:szCs w:val="16"/>
        </w:rPr>
        <w:t>'sov'</w:t>
      </w:r>
      <w:r w:rsidRPr="00E9754D">
        <w:rPr>
          <w:rFonts w:ascii="Courier New" w:hAnsi="Courier New" w:cs="Courier New"/>
          <w:color w:val="640032"/>
          <w:sz w:val="16"/>
          <w:szCs w:val="16"/>
        </w:rPr>
        <w:t>,</w:t>
      </w:r>
      <w:r w:rsidRPr="00E9754D">
        <w:rPr>
          <w:rFonts w:ascii="Courier New" w:hAnsi="Courier New" w:cs="Courier New"/>
          <w:color w:val="000000"/>
          <w:sz w:val="16"/>
          <w:szCs w:val="16"/>
        </w:rPr>
        <w:br/>
        <w:t xml:space="preserve">    </w:t>
      </w:r>
      <w:r w:rsidRPr="00E9754D">
        <w:rPr>
          <w:rFonts w:ascii="Courier New" w:hAnsi="Courier New" w:cs="Courier New"/>
          <w:color w:val="0000FF"/>
          <w:sz w:val="16"/>
          <w:szCs w:val="16"/>
        </w:rPr>
        <w:t>'svo'</w:t>
      </w:r>
      <w:r w:rsidRPr="00E9754D">
        <w:rPr>
          <w:rFonts w:ascii="Courier New" w:hAnsi="Courier New" w:cs="Courier New"/>
          <w:color w:val="640032"/>
          <w:sz w:val="16"/>
          <w:szCs w:val="16"/>
        </w:rPr>
        <w:t>,</w:t>
      </w:r>
      <w:r w:rsidRPr="00E9754D">
        <w:rPr>
          <w:rFonts w:ascii="Courier New" w:hAnsi="Courier New" w:cs="Courier New"/>
          <w:color w:val="000000"/>
          <w:sz w:val="16"/>
          <w:szCs w:val="16"/>
        </w:rPr>
        <w:br/>
        <w:t xml:space="preserve">    </w:t>
      </w:r>
      <w:r w:rsidRPr="00E9754D">
        <w:rPr>
          <w:rFonts w:ascii="Courier New" w:hAnsi="Courier New" w:cs="Courier New"/>
          <w:color w:val="0000FF"/>
          <w:sz w:val="16"/>
          <w:szCs w:val="16"/>
        </w:rPr>
        <w:t>'osv'</w:t>
      </w:r>
      <w:r w:rsidRPr="00E9754D">
        <w:rPr>
          <w:rFonts w:ascii="Courier New" w:hAnsi="Courier New" w:cs="Courier New"/>
          <w:color w:val="640032"/>
          <w:sz w:val="16"/>
          <w:szCs w:val="16"/>
        </w:rPr>
        <w:t>,</w:t>
      </w:r>
      <w:r w:rsidRPr="00E9754D">
        <w:rPr>
          <w:rFonts w:ascii="Courier New" w:hAnsi="Courier New" w:cs="Courier New"/>
          <w:color w:val="000000"/>
          <w:sz w:val="16"/>
          <w:szCs w:val="16"/>
        </w:rPr>
        <w:br/>
        <w:t xml:space="preserve">    </w:t>
      </w:r>
      <w:r w:rsidRPr="00E9754D">
        <w:rPr>
          <w:rFonts w:ascii="Courier New" w:hAnsi="Courier New" w:cs="Courier New"/>
          <w:color w:val="0000FF"/>
          <w:sz w:val="16"/>
          <w:szCs w:val="16"/>
        </w:rPr>
        <w:t>'ovs'</w:t>
      </w:r>
      <w:r w:rsidRPr="00E9754D">
        <w:rPr>
          <w:rFonts w:ascii="Courier New" w:hAnsi="Courier New" w:cs="Courier New"/>
          <w:color w:val="640032"/>
          <w:sz w:val="16"/>
          <w:szCs w:val="16"/>
        </w:rPr>
        <w:t>,</w:t>
      </w:r>
      <w:r w:rsidRPr="00E9754D">
        <w:rPr>
          <w:rFonts w:ascii="Courier New" w:hAnsi="Courier New" w:cs="Courier New"/>
          <w:color w:val="000000"/>
          <w:sz w:val="16"/>
          <w:szCs w:val="16"/>
        </w:rPr>
        <w:br/>
        <w:t xml:space="preserve">    </w:t>
      </w:r>
      <w:r w:rsidRPr="00E9754D">
        <w:rPr>
          <w:rFonts w:ascii="Courier New" w:hAnsi="Courier New" w:cs="Courier New"/>
          <w:color w:val="0000FF"/>
          <w:sz w:val="16"/>
          <w:szCs w:val="16"/>
        </w:rPr>
        <w:t>'vos'</w:t>
      </w:r>
      <w:r w:rsidRPr="00E9754D">
        <w:rPr>
          <w:rFonts w:ascii="Courier New" w:hAnsi="Courier New" w:cs="Courier New"/>
          <w:color w:val="640032"/>
          <w:sz w:val="16"/>
          <w:szCs w:val="16"/>
        </w:rPr>
        <w:t>,</w:t>
      </w:r>
      <w:r w:rsidRPr="00E9754D">
        <w:rPr>
          <w:rFonts w:ascii="Courier New" w:hAnsi="Courier New" w:cs="Courier New"/>
          <w:color w:val="000000"/>
          <w:sz w:val="16"/>
          <w:szCs w:val="16"/>
        </w:rPr>
        <w:br/>
        <w:t xml:space="preserve">    </w:t>
      </w:r>
      <w:r w:rsidRPr="00E9754D">
        <w:rPr>
          <w:rFonts w:ascii="Courier New" w:hAnsi="Courier New" w:cs="Courier New"/>
          <w:color w:val="0000FF"/>
          <w:sz w:val="16"/>
          <w:szCs w:val="16"/>
        </w:rPr>
        <w:t>'vso'</w:t>
      </w:r>
      <w:r w:rsidRPr="00E9754D">
        <w:rPr>
          <w:rFonts w:ascii="Courier New" w:hAnsi="Courier New" w:cs="Courier New"/>
          <w:color w:val="000000"/>
          <w:sz w:val="16"/>
          <w:szCs w:val="16"/>
        </w:rPr>
        <w:br/>
      </w:r>
      <w:r w:rsidRPr="00E9754D">
        <w:rPr>
          <w:rFonts w:ascii="Courier New" w:hAnsi="Courier New" w:cs="Courier New"/>
          <w:color w:val="960000"/>
          <w:sz w:val="16"/>
          <w:szCs w:val="16"/>
        </w:rPr>
        <w:t>)</w:t>
      </w:r>
      <w:r w:rsidRPr="00E9754D">
        <w:rPr>
          <w:rFonts w:ascii="Courier New" w:hAnsi="Courier New" w:cs="Courier New"/>
          <w:color w:val="640032"/>
          <w:sz w:val="16"/>
          <w:szCs w:val="16"/>
        </w:rPr>
        <w:t>;</w:t>
      </w:r>
      <w:r w:rsidRPr="00E9754D">
        <w:rPr>
          <w:rFonts w:ascii="Courier New" w:hAnsi="Courier New" w:cs="Courier New"/>
          <w:color w:val="000000"/>
          <w:sz w:val="16"/>
          <w:szCs w:val="16"/>
        </w:rPr>
        <w:br/>
      </w:r>
      <w:r w:rsidRPr="00E9754D">
        <w:rPr>
          <w:rFonts w:ascii="Courier New" w:hAnsi="Courier New" w:cs="Courier New"/>
          <w:color w:val="000000"/>
          <w:sz w:val="16"/>
          <w:szCs w:val="16"/>
        </w:rPr>
        <w:br/>
      </w:r>
      <w:r w:rsidRPr="00E9754D">
        <w:rPr>
          <w:rFonts w:ascii="Courier New" w:hAnsi="Courier New" w:cs="Courier New"/>
          <w:color w:val="009600"/>
          <w:sz w:val="16"/>
          <w:szCs w:val="16"/>
        </w:rPr>
        <w:t>-- @dcr:datcat code http://www.isocat.org/datcat/DC-2482</w:t>
      </w:r>
      <w:r w:rsidRPr="00E9754D">
        <w:rPr>
          <w:rFonts w:ascii="Courier New" w:hAnsi="Courier New" w:cs="Courier New"/>
          <w:color w:val="000000"/>
          <w:sz w:val="16"/>
          <w:szCs w:val="16"/>
        </w:rPr>
        <w:br/>
      </w:r>
      <w:r w:rsidRPr="00E9754D">
        <w:rPr>
          <w:rFonts w:ascii="Courier New" w:hAnsi="Courier New" w:cs="Courier New"/>
          <w:color w:val="009600"/>
          <w:sz w:val="16"/>
          <w:szCs w:val="16"/>
        </w:rPr>
        <w:t>-- @dcr:datcat name http://www.isocat.org/datcat/DC-2484</w:t>
      </w:r>
      <w:r w:rsidRPr="00E9754D">
        <w:rPr>
          <w:rFonts w:ascii="Courier New" w:hAnsi="Courier New" w:cs="Courier New"/>
          <w:color w:val="000000"/>
          <w:sz w:val="16"/>
          <w:szCs w:val="16"/>
        </w:rPr>
        <w:br/>
      </w:r>
      <w:r w:rsidRPr="00E9754D">
        <w:rPr>
          <w:rFonts w:ascii="Courier New" w:hAnsi="Courier New" w:cs="Courier New"/>
          <w:color w:val="009600"/>
          <w:sz w:val="16"/>
          <w:szCs w:val="16"/>
        </w:rPr>
        <w:t>-- @dcr:datcat bwo http://www.isocat.org/datcat/DC-...</w:t>
      </w:r>
      <w:r w:rsidRPr="00E9754D">
        <w:rPr>
          <w:rFonts w:ascii="Courier New" w:hAnsi="Courier New" w:cs="Courier New"/>
          <w:color w:val="000000"/>
          <w:sz w:val="16"/>
          <w:szCs w:val="16"/>
        </w:rPr>
        <w:br/>
      </w:r>
      <w:r w:rsidRPr="00E9754D">
        <w:rPr>
          <w:rFonts w:ascii="Courier New" w:hAnsi="Courier New" w:cs="Courier New"/>
          <w:color w:val="009600"/>
          <w:sz w:val="16"/>
          <w:szCs w:val="16"/>
        </w:rPr>
        <w:t>-- @dcr:datcat source http://www.isocat.org/datcat/DC-2534</w:t>
      </w:r>
      <w:r w:rsidRPr="00E9754D">
        <w:rPr>
          <w:rFonts w:ascii="Courier New" w:hAnsi="Courier New" w:cs="Courier New"/>
          <w:color w:val="000000"/>
          <w:sz w:val="16"/>
          <w:szCs w:val="16"/>
        </w:rPr>
        <w:br/>
      </w:r>
      <w:r w:rsidRPr="00E9754D">
        <w:rPr>
          <w:rFonts w:ascii="Courier New" w:hAnsi="Courier New" w:cs="Courier New"/>
          <w:color w:val="009600"/>
          <w:sz w:val="16"/>
          <w:szCs w:val="16"/>
        </w:rPr>
        <w:t>-- @dcr:datcat informant http://www.isocat.org/datcat/DC-3759</w:t>
      </w:r>
      <w:r w:rsidRPr="00E9754D">
        <w:rPr>
          <w:rFonts w:ascii="Courier New" w:hAnsi="Courier New" w:cs="Courier New"/>
          <w:color w:val="000000"/>
          <w:sz w:val="16"/>
          <w:szCs w:val="16"/>
        </w:rPr>
        <w:br/>
      </w:r>
      <w:r w:rsidRPr="00E9754D">
        <w:rPr>
          <w:rFonts w:ascii="Courier New" w:hAnsi="Courier New" w:cs="Courier New"/>
          <w:color w:val="000000"/>
          <w:sz w:val="16"/>
          <w:szCs w:val="16"/>
        </w:rPr>
        <w:br/>
      </w:r>
      <w:r w:rsidRPr="00E9754D">
        <w:rPr>
          <w:rFonts w:ascii="Courier New" w:hAnsi="Courier New" w:cs="Courier New"/>
          <w:color w:val="963246"/>
          <w:sz w:val="16"/>
          <w:szCs w:val="16"/>
        </w:rPr>
        <w:t>CREATE</w:t>
      </w:r>
      <w:r w:rsidRPr="00E9754D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E9754D">
        <w:rPr>
          <w:rFonts w:ascii="Courier New" w:hAnsi="Courier New" w:cs="Courier New"/>
          <w:color w:val="963246"/>
          <w:sz w:val="16"/>
          <w:szCs w:val="16"/>
        </w:rPr>
        <w:t>TABLE</w:t>
      </w:r>
      <w:r w:rsidRPr="00E9754D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E9754D">
        <w:rPr>
          <w:rFonts w:ascii="Courier New" w:hAnsi="Courier New" w:cs="Courier New"/>
          <w:color w:val="0000FF"/>
          <w:sz w:val="16"/>
          <w:szCs w:val="16"/>
        </w:rPr>
        <w:t>"typ-word-order"</w:t>
      </w:r>
      <w:r w:rsidRPr="00E9754D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E9754D">
        <w:rPr>
          <w:rFonts w:ascii="Courier New" w:hAnsi="Courier New" w:cs="Courier New"/>
          <w:color w:val="960000"/>
          <w:sz w:val="16"/>
          <w:szCs w:val="16"/>
        </w:rPr>
        <w:t>(</w:t>
      </w:r>
      <w:r w:rsidRPr="00E9754D">
        <w:rPr>
          <w:rFonts w:ascii="Courier New" w:hAnsi="Courier New" w:cs="Courier New"/>
          <w:color w:val="000000"/>
          <w:sz w:val="16"/>
          <w:szCs w:val="16"/>
        </w:rPr>
        <w:br/>
        <w:t xml:space="preserve">    </w:t>
      </w:r>
      <w:r w:rsidRPr="00E9754D">
        <w:rPr>
          <w:rFonts w:ascii="Courier New" w:hAnsi="Courier New" w:cs="Courier New"/>
          <w:color w:val="1E6496"/>
          <w:sz w:val="16"/>
          <w:szCs w:val="16"/>
        </w:rPr>
        <w:t>code</w:t>
      </w:r>
      <w:r w:rsidRPr="00E9754D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E9754D">
        <w:rPr>
          <w:rFonts w:ascii="Courier New" w:hAnsi="Courier New" w:cs="Courier New"/>
          <w:color w:val="963246"/>
          <w:sz w:val="16"/>
          <w:szCs w:val="16"/>
        </w:rPr>
        <w:t>character</w:t>
      </w:r>
      <w:r w:rsidRPr="00E9754D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E9754D">
        <w:rPr>
          <w:rFonts w:ascii="Courier New" w:hAnsi="Courier New" w:cs="Courier New"/>
          <w:color w:val="963246"/>
          <w:sz w:val="16"/>
          <w:szCs w:val="16"/>
        </w:rPr>
        <w:t>varying</w:t>
      </w:r>
      <w:r w:rsidRPr="00E9754D">
        <w:rPr>
          <w:rFonts w:ascii="Courier New" w:hAnsi="Courier New" w:cs="Courier New"/>
          <w:color w:val="960000"/>
          <w:sz w:val="16"/>
          <w:szCs w:val="16"/>
        </w:rPr>
        <w:t>(</w:t>
      </w:r>
      <w:r w:rsidRPr="00E9754D">
        <w:rPr>
          <w:rFonts w:ascii="Courier New" w:hAnsi="Courier New" w:cs="Courier New"/>
          <w:color w:val="009600"/>
          <w:sz w:val="16"/>
          <w:szCs w:val="16"/>
        </w:rPr>
        <w:t>3</w:t>
      </w:r>
      <w:r w:rsidRPr="00E9754D">
        <w:rPr>
          <w:rFonts w:ascii="Courier New" w:hAnsi="Courier New" w:cs="Courier New"/>
          <w:color w:val="960000"/>
          <w:sz w:val="16"/>
          <w:szCs w:val="16"/>
        </w:rPr>
        <w:t>)</w:t>
      </w:r>
      <w:r w:rsidRPr="00E9754D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E9754D">
        <w:rPr>
          <w:rFonts w:ascii="Courier New" w:hAnsi="Courier New" w:cs="Courier New"/>
          <w:color w:val="963246"/>
          <w:sz w:val="16"/>
          <w:szCs w:val="16"/>
        </w:rPr>
        <w:t>NOT</w:t>
      </w:r>
      <w:r w:rsidRPr="00E9754D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E9754D">
        <w:rPr>
          <w:rFonts w:ascii="Courier New" w:hAnsi="Courier New" w:cs="Courier New"/>
          <w:color w:val="963246"/>
          <w:sz w:val="16"/>
          <w:szCs w:val="16"/>
        </w:rPr>
        <w:t>NULL</w:t>
      </w:r>
      <w:r w:rsidRPr="00E9754D">
        <w:rPr>
          <w:rFonts w:ascii="Courier New" w:hAnsi="Courier New" w:cs="Courier New"/>
          <w:color w:val="640032"/>
          <w:sz w:val="16"/>
          <w:szCs w:val="16"/>
        </w:rPr>
        <w:t>,</w:t>
      </w:r>
      <w:r w:rsidRPr="00E9754D">
        <w:rPr>
          <w:rFonts w:ascii="Courier New" w:hAnsi="Courier New" w:cs="Courier New"/>
          <w:color w:val="000000"/>
          <w:sz w:val="16"/>
          <w:szCs w:val="16"/>
        </w:rPr>
        <w:br/>
        <w:t xml:space="preserve">    </w:t>
      </w:r>
      <w:r w:rsidRPr="00E9754D">
        <w:rPr>
          <w:rFonts w:ascii="Courier New" w:hAnsi="Courier New" w:cs="Courier New"/>
          <w:color w:val="1E6496"/>
          <w:sz w:val="16"/>
          <w:szCs w:val="16"/>
        </w:rPr>
        <w:t>name</w:t>
      </w:r>
      <w:r w:rsidRPr="00E9754D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E9754D">
        <w:rPr>
          <w:rFonts w:ascii="Courier New" w:hAnsi="Courier New" w:cs="Courier New"/>
          <w:color w:val="963246"/>
          <w:sz w:val="16"/>
          <w:szCs w:val="16"/>
        </w:rPr>
        <w:t>character</w:t>
      </w:r>
      <w:r w:rsidRPr="00E9754D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E9754D">
        <w:rPr>
          <w:rFonts w:ascii="Courier New" w:hAnsi="Courier New" w:cs="Courier New"/>
          <w:color w:val="963246"/>
          <w:sz w:val="16"/>
          <w:szCs w:val="16"/>
        </w:rPr>
        <w:t>varying</w:t>
      </w:r>
      <w:r w:rsidRPr="00E9754D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E9754D">
        <w:rPr>
          <w:rFonts w:ascii="Courier New" w:hAnsi="Courier New" w:cs="Courier New"/>
          <w:color w:val="963246"/>
          <w:sz w:val="16"/>
          <w:szCs w:val="16"/>
        </w:rPr>
        <w:t>NOT</w:t>
      </w:r>
      <w:r w:rsidRPr="00E9754D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E9754D">
        <w:rPr>
          <w:rFonts w:ascii="Courier New" w:hAnsi="Courier New" w:cs="Courier New"/>
          <w:color w:val="963246"/>
          <w:sz w:val="16"/>
          <w:szCs w:val="16"/>
        </w:rPr>
        <w:t>NULL</w:t>
      </w:r>
      <w:r w:rsidRPr="00E9754D">
        <w:rPr>
          <w:rFonts w:ascii="Courier New" w:hAnsi="Courier New" w:cs="Courier New"/>
          <w:color w:val="640032"/>
          <w:sz w:val="16"/>
          <w:szCs w:val="16"/>
        </w:rPr>
        <w:t>,</w:t>
      </w:r>
      <w:r w:rsidRPr="00E9754D">
        <w:rPr>
          <w:rFonts w:ascii="Courier New" w:hAnsi="Courier New" w:cs="Courier New"/>
          <w:color w:val="000000"/>
          <w:sz w:val="16"/>
          <w:szCs w:val="16"/>
        </w:rPr>
        <w:br/>
        <w:t xml:space="preserve">    </w:t>
      </w:r>
      <w:r w:rsidRPr="00E9754D">
        <w:rPr>
          <w:rFonts w:ascii="Courier New" w:hAnsi="Courier New" w:cs="Courier New"/>
          <w:color w:val="1E6496"/>
          <w:sz w:val="16"/>
          <w:szCs w:val="16"/>
        </w:rPr>
        <w:t>bwo</w:t>
      </w:r>
      <w:r w:rsidRPr="00E9754D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E9754D">
        <w:rPr>
          <w:rFonts w:ascii="Courier New" w:hAnsi="Courier New" w:cs="Courier New"/>
          <w:color w:val="1E6496"/>
          <w:sz w:val="16"/>
          <w:szCs w:val="16"/>
        </w:rPr>
        <w:t>bwo</w:t>
      </w:r>
      <w:r w:rsidRPr="00E9754D">
        <w:rPr>
          <w:rFonts w:ascii="Courier New" w:hAnsi="Courier New" w:cs="Courier New"/>
          <w:color w:val="640032"/>
          <w:sz w:val="16"/>
          <w:szCs w:val="16"/>
        </w:rPr>
        <w:t>,</w:t>
      </w:r>
      <w:r w:rsidRPr="00E9754D">
        <w:rPr>
          <w:rFonts w:ascii="Courier New" w:hAnsi="Courier New" w:cs="Courier New"/>
          <w:color w:val="000000"/>
          <w:sz w:val="16"/>
          <w:szCs w:val="16"/>
        </w:rPr>
        <w:br/>
        <w:t xml:space="preserve">    </w:t>
      </w:r>
      <w:r w:rsidRPr="00E9754D">
        <w:rPr>
          <w:rFonts w:ascii="Courier New" w:hAnsi="Courier New" w:cs="Courier New"/>
          <w:color w:val="1E6496"/>
          <w:sz w:val="16"/>
          <w:szCs w:val="16"/>
        </w:rPr>
        <w:t>source</w:t>
      </w:r>
      <w:r w:rsidRPr="00E9754D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E9754D">
        <w:rPr>
          <w:rFonts w:ascii="Courier New" w:hAnsi="Courier New" w:cs="Courier New"/>
          <w:color w:val="963246"/>
          <w:sz w:val="16"/>
          <w:szCs w:val="16"/>
        </w:rPr>
        <w:t>character</w:t>
      </w:r>
      <w:r w:rsidRPr="00E9754D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E9754D">
        <w:rPr>
          <w:rFonts w:ascii="Courier New" w:hAnsi="Courier New" w:cs="Courier New"/>
          <w:color w:val="963246"/>
          <w:sz w:val="16"/>
          <w:szCs w:val="16"/>
        </w:rPr>
        <w:t>varying</w:t>
      </w:r>
      <w:r w:rsidRPr="00E9754D">
        <w:rPr>
          <w:rFonts w:ascii="Courier New" w:hAnsi="Courier New" w:cs="Courier New"/>
          <w:color w:val="640032"/>
          <w:sz w:val="16"/>
          <w:szCs w:val="16"/>
        </w:rPr>
        <w:t>,</w:t>
      </w:r>
      <w:r w:rsidRPr="00E9754D">
        <w:rPr>
          <w:rFonts w:ascii="Courier New" w:hAnsi="Courier New" w:cs="Courier New"/>
          <w:color w:val="000000"/>
          <w:sz w:val="16"/>
          <w:szCs w:val="16"/>
        </w:rPr>
        <w:br/>
        <w:t xml:space="preserve">    </w:t>
      </w:r>
      <w:r w:rsidRPr="00E9754D">
        <w:rPr>
          <w:rFonts w:ascii="Courier New" w:hAnsi="Courier New" w:cs="Courier New"/>
          <w:color w:val="1E6496"/>
          <w:sz w:val="16"/>
          <w:szCs w:val="16"/>
        </w:rPr>
        <w:t>informant</w:t>
      </w:r>
      <w:r w:rsidRPr="00E9754D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E9754D">
        <w:rPr>
          <w:rFonts w:ascii="Courier New" w:hAnsi="Courier New" w:cs="Courier New"/>
          <w:color w:val="963246"/>
          <w:sz w:val="16"/>
          <w:szCs w:val="16"/>
        </w:rPr>
        <w:t>character</w:t>
      </w:r>
      <w:r w:rsidRPr="00E9754D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E9754D">
        <w:rPr>
          <w:rFonts w:ascii="Courier New" w:hAnsi="Courier New" w:cs="Courier New"/>
          <w:color w:val="963246"/>
          <w:sz w:val="16"/>
          <w:szCs w:val="16"/>
        </w:rPr>
        <w:t>varying</w:t>
      </w:r>
      <w:r w:rsidRPr="00E9754D">
        <w:rPr>
          <w:rFonts w:ascii="Courier New" w:hAnsi="Courier New" w:cs="Courier New"/>
          <w:color w:val="000000"/>
          <w:sz w:val="16"/>
          <w:szCs w:val="16"/>
        </w:rPr>
        <w:br/>
      </w:r>
      <w:r w:rsidRPr="00E9754D">
        <w:rPr>
          <w:rFonts w:ascii="Courier New" w:hAnsi="Courier New" w:cs="Courier New"/>
          <w:color w:val="960000"/>
          <w:sz w:val="16"/>
          <w:szCs w:val="16"/>
        </w:rPr>
        <w:t>)</w:t>
      </w:r>
      <w:r w:rsidRPr="00E9754D">
        <w:rPr>
          <w:rFonts w:ascii="Courier New" w:hAnsi="Courier New" w:cs="Courier New"/>
          <w:color w:val="640032"/>
          <w:sz w:val="16"/>
          <w:szCs w:val="16"/>
        </w:rPr>
        <w:t>;</w:t>
      </w:r>
    </w:p>
    <w:p w:rsidR="00B8504C" w:rsidRDefault="00A42EB0" w:rsidP="00B8504C">
      <w:pPr>
        <w:pStyle w:val="Heading2"/>
      </w:pPr>
      <w:r w:rsidRPr="00A42EB0">
        <w:rPr>
          <w:i/>
        </w:rPr>
        <w:t>Take home</w:t>
      </w:r>
      <w:r>
        <w:t>: beyond ISOcat</w:t>
      </w:r>
      <w:r w:rsidR="000B4759">
        <w:t xml:space="preserve"> – ontological relationships</w:t>
      </w:r>
    </w:p>
    <w:p w:rsidR="00B8504C" w:rsidRDefault="00B8504C" w:rsidP="00B8504C">
      <w:r>
        <w:t>verb-object-subject (vos) and verb-subject-object (vso) can be seen as subclasses of predicate-initial:</w:t>
      </w:r>
    </w:p>
    <w:p w:rsidR="00B8504C" w:rsidRDefault="00B8504C" w:rsidP="00467141">
      <w:pPr>
        <w:ind w:firstLine="720"/>
      </w:pPr>
      <w:r>
        <w:t>/</w:t>
      </w:r>
      <w:r w:rsidRPr="00B8504C">
        <w:t xml:space="preserve"> </w:t>
      </w:r>
      <w:r w:rsidRPr="00B8504C">
        <w:rPr>
          <w:i/>
        </w:rPr>
        <w:t>verb-object-subject</w:t>
      </w:r>
      <w:r>
        <w:t>/ rel:subClassOf /</w:t>
      </w:r>
      <w:r w:rsidRPr="00B8504C">
        <w:rPr>
          <w:i/>
        </w:rPr>
        <w:t>predicate-initial</w:t>
      </w:r>
      <w:r>
        <w:t>/</w:t>
      </w:r>
    </w:p>
    <w:p w:rsidR="00B8504C" w:rsidRDefault="00B8504C" w:rsidP="00467141">
      <w:pPr>
        <w:ind w:firstLine="720"/>
      </w:pPr>
      <w:r>
        <w:t>/</w:t>
      </w:r>
      <w:r w:rsidRPr="00B8504C">
        <w:rPr>
          <w:i/>
        </w:rPr>
        <w:t>verb-subject-object</w:t>
      </w:r>
      <w:r>
        <w:t>/ rel:subClassOf /</w:t>
      </w:r>
      <w:r w:rsidRPr="00B8504C">
        <w:rPr>
          <w:i/>
        </w:rPr>
        <w:t>predicate-initial</w:t>
      </w:r>
      <w:r>
        <w:t>/</w:t>
      </w:r>
    </w:p>
    <w:p w:rsidR="00621059" w:rsidRDefault="00467141" w:rsidP="00621059">
      <w:r>
        <w:t xml:space="preserve">In the ontology of the Typological Database System </w:t>
      </w:r>
      <w:r w:rsidR="00533D80">
        <w:t xml:space="preserve">(TDS) </w:t>
      </w:r>
      <w:r>
        <w:t xml:space="preserve">project these kind of theoretical perspectives were both included but kept separate in their own parts of the subsumption hierarchy. </w:t>
      </w:r>
      <w:r w:rsidR="00533D80">
        <w:t>In the TDS d</w:t>
      </w:r>
      <w:r>
        <w:t>ifferent theories describing the same linguistic phenomena are linked using the special tds:equatesWith predicate</w:t>
      </w:r>
      <w:r w:rsidR="00B13B83">
        <w:rPr>
          <w:rStyle w:val="EndnoteReference"/>
        </w:rPr>
        <w:endnoteReference w:id="1"/>
      </w:r>
      <w:r>
        <w:t xml:space="preserve">. Depending on your preference the same can be stored </w:t>
      </w:r>
      <w:r w:rsidR="00B13B83">
        <w:t xml:space="preserve">in the Relation Registry </w:t>
      </w:r>
      <w:r>
        <w:t>RELcat</w:t>
      </w:r>
      <w:r w:rsidR="00B13B83">
        <w:t>:</w:t>
      </w:r>
    </w:p>
    <w:p w:rsidR="00467141" w:rsidRDefault="00467141" w:rsidP="00467141">
      <w:pPr>
        <w:ind w:firstLine="720"/>
      </w:pPr>
      <w:r>
        <w:t>/</w:t>
      </w:r>
      <w:r w:rsidRPr="00B8504C">
        <w:t xml:space="preserve"> </w:t>
      </w:r>
      <w:r w:rsidRPr="00B8504C">
        <w:rPr>
          <w:i/>
        </w:rPr>
        <w:t>verb-object-subject</w:t>
      </w:r>
      <w:r>
        <w:t>/ tds:equatesWith /</w:t>
      </w:r>
      <w:r w:rsidRPr="00B8504C">
        <w:rPr>
          <w:i/>
        </w:rPr>
        <w:t>predicate-initial</w:t>
      </w:r>
      <w:r>
        <w:t>/</w:t>
      </w:r>
    </w:p>
    <w:p w:rsidR="00467141" w:rsidRDefault="00467141" w:rsidP="00467141">
      <w:pPr>
        <w:ind w:firstLine="720"/>
      </w:pPr>
      <w:r>
        <w:t>/</w:t>
      </w:r>
      <w:r w:rsidRPr="00B8504C">
        <w:rPr>
          <w:i/>
        </w:rPr>
        <w:t>verb-subject-object</w:t>
      </w:r>
      <w:r>
        <w:t>/ tds:equatesWith/</w:t>
      </w:r>
      <w:r w:rsidRPr="00B8504C">
        <w:rPr>
          <w:i/>
        </w:rPr>
        <w:t>predicate-initial</w:t>
      </w:r>
      <w:r>
        <w:t>/</w:t>
      </w:r>
    </w:p>
    <w:p w:rsidR="00467141" w:rsidRDefault="00467141" w:rsidP="00467141">
      <w:r>
        <w:t xml:space="preserve">However to make it possible for generic semantic search algorithms to make use of this relationship tds:equatesWith has to be embedded in the taxonomy of </w:t>
      </w:r>
      <w:r w:rsidR="00211B96">
        <w:t>relation types:</w:t>
      </w:r>
    </w:p>
    <w:p w:rsidR="00211B96" w:rsidRDefault="00211B96" w:rsidP="00211B96">
      <w:pPr>
        <w:pStyle w:val="ListParagraph"/>
        <w:numPr>
          <w:ilvl w:val="0"/>
          <w:numId w:val="19"/>
        </w:numPr>
      </w:pPr>
      <w:r>
        <w:t>rel:related</w:t>
      </w:r>
    </w:p>
    <w:p w:rsidR="00211B96" w:rsidRDefault="00211B96" w:rsidP="00211B96">
      <w:pPr>
        <w:pStyle w:val="ListParagraph"/>
        <w:numPr>
          <w:ilvl w:val="1"/>
          <w:numId w:val="19"/>
        </w:numPr>
      </w:pPr>
      <w:r>
        <w:t>rel:almostSameAs</w:t>
      </w:r>
    </w:p>
    <w:p w:rsidR="00211B96" w:rsidRDefault="00211B96" w:rsidP="00211B96">
      <w:pPr>
        <w:pStyle w:val="ListParagraph"/>
        <w:numPr>
          <w:ilvl w:val="2"/>
          <w:numId w:val="19"/>
        </w:numPr>
      </w:pPr>
      <w:r>
        <w:t>tds:equatesWith</w:t>
      </w:r>
    </w:p>
    <w:p w:rsidR="00467141" w:rsidRPr="00621059" w:rsidRDefault="00B13B83" w:rsidP="00621059">
      <w:r w:rsidRPr="00B13B83">
        <w:rPr>
          <w:sz w:val="16"/>
        </w:rPr>
        <w:br/>
      </w:r>
      <w:r w:rsidRPr="00B13B83">
        <w:tab/>
      </w:r>
      <w:r w:rsidRPr="00B13B83">
        <w:tab/>
      </w:r>
      <w:r w:rsidRPr="00B13B83">
        <w:tab/>
      </w:r>
    </w:p>
    <w:sectPr w:rsidR="00467141" w:rsidRPr="00621059" w:rsidSect="00C92394">
      <w:footerReference w:type="default" r:id="rId42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E30" w:rsidRDefault="00A26E30" w:rsidP="00B13B83">
      <w:pPr>
        <w:spacing w:after="0" w:line="240" w:lineRule="auto"/>
      </w:pPr>
      <w:r>
        <w:separator/>
      </w:r>
    </w:p>
  </w:endnote>
  <w:endnote w:type="continuationSeparator" w:id="0">
    <w:p w:rsidR="00A26E30" w:rsidRDefault="00A26E30" w:rsidP="00B13B83">
      <w:pPr>
        <w:spacing w:after="0" w:line="240" w:lineRule="auto"/>
      </w:pPr>
      <w:r>
        <w:continuationSeparator/>
      </w:r>
    </w:p>
  </w:endnote>
  <w:endnote w:id="1">
    <w:p w:rsidR="00B13B83" w:rsidRDefault="00B13B83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B13B83">
        <w:rPr>
          <w:sz w:val="16"/>
          <w:szCs w:val="22"/>
        </w:rPr>
        <w:t>A. Dimitriadis,</w:t>
      </w:r>
      <w:r w:rsidRPr="00B13B83">
        <w:rPr>
          <w:sz w:val="16"/>
        </w:rPr>
        <w:t xml:space="preserve"> A. Saulwick, M. Windhouwer. </w:t>
      </w:r>
      <w:r w:rsidRPr="00B13B83">
        <w:rPr>
          <w:sz w:val="16"/>
          <w:szCs w:val="22"/>
        </w:rPr>
        <w:t>Semantic relations in ontology mediated linguistic data integration.</w:t>
      </w:r>
      <w:r w:rsidRPr="00B13B83">
        <w:rPr>
          <w:sz w:val="16"/>
        </w:rPr>
        <w:t xml:space="preserve"> </w:t>
      </w:r>
      <w:r w:rsidRPr="00B13B83">
        <w:rPr>
          <w:sz w:val="16"/>
          <w:szCs w:val="22"/>
        </w:rPr>
        <w:t>In Proceedings of the E-MELD Workshop on Morphosyntactic Annotation and Terminology: Linguistic Ontologies and Data Categories for Linguistic Resources (</w:t>
      </w:r>
      <w:r w:rsidRPr="00B13B83">
        <w:rPr>
          <w:sz w:val="16"/>
        </w:rPr>
        <w:t>E-MELD 2005</w:t>
      </w:r>
      <w:r w:rsidRPr="00B13B83">
        <w:rPr>
          <w:sz w:val="16"/>
          <w:szCs w:val="22"/>
        </w:rPr>
        <w:t>),</w:t>
      </w:r>
      <w:r w:rsidRPr="00B13B83">
        <w:rPr>
          <w:sz w:val="16"/>
        </w:rPr>
        <w:t xml:space="preserve"> </w:t>
      </w:r>
      <w:r w:rsidRPr="00B13B83">
        <w:rPr>
          <w:sz w:val="16"/>
          <w:szCs w:val="22"/>
        </w:rPr>
        <w:t>Cambridge, Massachusetts, July 1-3, 2005.</w:t>
      </w:r>
      <w:r>
        <w:rPr>
          <w:sz w:val="16"/>
          <w:szCs w:val="22"/>
        </w:rPr>
        <w:t xml:space="preserve"> </w:t>
      </w:r>
      <w:hyperlink r:id="rId1" w:history="1">
        <w:r w:rsidRPr="00B13B83">
          <w:rPr>
            <w:rStyle w:val="Hyperlink"/>
            <w:sz w:val="16"/>
          </w:rPr>
          <w:t>http://www.emeld.org/workshop/2005/papers/saulwick-paper.html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807"/>
      <w:gridCol w:w="1068"/>
      <w:gridCol w:w="4807"/>
    </w:tblGrid>
    <w:tr w:rsidR="006C0888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6C0888" w:rsidRDefault="006C088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C0888" w:rsidRPr="006C0888" w:rsidRDefault="006C0888">
          <w:pPr>
            <w:pStyle w:val="NoSpacing"/>
            <w:rPr>
              <w:rFonts w:eastAsiaTheme="majorEastAsia" w:cstheme="minorHAnsi"/>
              <w:sz w:val="16"/>
              <w:szCs w:val="16"/>
            </w:rPr>
          </w:pPr>
          <w:r w:rsidRPr="006C0888">
            <w:rPr>
              <w:rFonts w:eastAsiaTheme="majorEastAsia" w:cstheme="minorHAnsi"/>
              <w:bCs/>
              <w:sz w:val="16"/>
              <w:szCs w:val="16"/>
            </w:rPr>
            <w:t xml:space="preserve">Page </w:t>
          </w:r>
          <w:r w:rsidRPr="006C0888">
            <w:rPr>
              <w:rFonts w:cstheme="minorHAnsi"/>
              <w:sz w:val="16"/>
              <w:szCs w:val="16"/>
            </w:rPr>
            <w:fldChar w:fldCharType="begin"/>
          </w:r>
          <w:r w:rsidRPr="006C0888">
            <w:rPr>
              <w:rFonts w:cstheme="minorHAnsi"/>
              <w:sz w:val="16"/>
              <w:szCs w:val="16"/>
            </w:rPr>
            <w:instrText xml:space="preserve"> PAGE  \* MERGEFORMAT </w:instrText>
          </w:r>
          <w:r w:rsidRPr="006C0888">
            <w:rPr>
              <w:rFonts w:cstheme="minorHAnsi"/>
              <w:sz w:val="16"/>
              <w:szCs w:val="16"/>
            </w:rPr>
            <w:fldChar w:fldCharType="separate"/>
          </w:r>
          <w:r w:rsidR="007D7AE2" w:rsidRPr="007D7AE2">
            <w:rPr>
              <w:rFonts w:eastAsiaTheme="majorEastAsia" w:cstheme="minorHAnsi"/>
              <w:bCs/>
              <w:noProof/>
              <w:sz w:val="16"/>
              <w:szCs w:val="16"/>
            </w:rPr>
            <w:t>1</w:t>
          </w:r>
          <w:r w:rsidRPr="006C0888">
            <w:rPr>
              <w:rFonts w:eastAsiaTheme="majorEastAsia" w:cstheme="minorHAnsi"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6C0888" w:rsidRDefault="006C088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C0888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6C0888" w:rsidRDefault="006C088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6C0888" w:rsidRDefault="006C0888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6C0888" w:rsidRDefault="006C088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6C0888" w:rsidRDefault="006C08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E30" w:rsidRDefault="00A26E30" w:rsidP="00B13B83">
      <w:pPr>
        <w:spacing w:after="0" w:line="240" w:lineRule="auto"/>
      </w:pPr>
      <w:r>
        <w:separator/>
      </w:r>
    </w:p>
  </w:footnote>
  <w:footnote w:type="continuationSeparator" w:id="0">
    <w:p w:rsidR="00A26E30" w:rsidRDefault="00A26E30" w:rsidP="00B13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233D"/>
    <w:multiLevelType w:val="hybridMultilevel"/>
    <w:tmpl w:val="CA3CD82C"/>
    <w:lvl w:ilvl="0" w:tplc="B538BF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B31A7"/>
    <w:multiLevelType w:val="hybridMultilevel"/>
    <w:tmpl w:val="380EC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1354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4221202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>
    <w:nsid w:val="149D7F62"/>
    <w:multiLevelType w:val="hybridMultilevel"/>
    <w:tmpl w:val="2F8C8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75607"/>
    <w:multiLevelType w:val="hybridMultilevel"/>
    <w:tmpl w:val="065C6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22C43"/>
    <w:multiLevelType w:val="hybridMultilevel"/>
    <w:tmpl w:val="A74CC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310C4"/>
    <w:multiLevelType w:val="hybridMultilevel"/>
    <w:tmpl w:val="C1489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20680"/>
    <w:multiLevelType w:val="hybridMultilevel"/>
    <w:tmpl w:val="249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C0EBB"/>
    <w:multiLevelType w:val="hybridMultilevel"/>
    <w:tmpl w:val="8A0A3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101E0"/>
    <w:multiLevelType w:val="hybridMultilevel"/>
    <w:tmpl w:val="5E461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DF4C76"/>
    <w:multiLevelType w:val="hybridMultilevel"/>
    <w:tmpl w:val="4316F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840B9"/>
    <w:multiLevelType w:val="hybridMultilevel"/>
    <w:tmpl w:val="7F16E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200E8"/>
    <w:multiLevelType w:val="hybridMultilevel"/>
    <w:tmpl w:val="FE84AD1A"/>
    <w:lvl w:ilvl="0" w:tplc="B538BF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321F9"/>
    <w:multiLevelType w:val="hybridMultilevel"/>
    <w:tmpl w:val="158C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355A7"/>
    <w:multiLevelType w:val="hybridMultilevel"/>
    <w:tmpl w:val="7B329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5C16A2"/>
    <w:multiLevelType w:val="hybridMultilevel"/>
    <w:tmpl w:val="013A7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764F47"/>
    <w:multiLevelType w:val="hybridMultilevel"/>
    <w:tmpl w:val="FEE2B0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9AE2AB4"/>
    <w:multiLevelType w:val="hybridMultilevel"/>
    <w:tmpl w:val="FD44C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93389B"/>
    <w:multiLevelType w:val="hybridMultilevel"/>
    <w:tmpl w:val="A6884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82474"/>
    <w:multiLevelType w:val="hybridMultilevel"/>
    <w:tmpl w:val="654ED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9C1ADE"/>
    <w:multiLevelType w:val="hybridMultilevel"/>
    <w:tmpl w:val="EA38E780"/>
    <w:lvl w:ilvl="0" w:tplc="B538BF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930D8E"/>
    <w:multiLevelType w:val="hybridMultilevel"/>
    <w:tmpl w:val="7F8A4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E357CA"/>
    <w:multiLevelType w:val="hybridMultilevel"/>
    <w:tmpl w:val="75F6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21"/>
  </w:num>
  <w:num w:numId="5">
    <w:abstractNumId w:val="11"/>
  </w:num>
  <w:num w:numId="6">
    <w:abstractNumId w:val="19"/>
  </w:num>
  <w:num w:numId="7">
    <w:abstractNumId w:val="16"/>
  </w:num>
  <w:num w:numId="8">
    <w:abstractNumId w:val="18"/>
  </w:num>
  <w:num w:numId="9">
    <w:abstractNumId w:val="6"/>
  </w:num>
  <w:num w:numId="10">
    <w:abstractNumId w:val="15"/>
  </w:num>
  <w:num w:numId="11">
    <w:abstractNumId w:val="14"/>
  </w:num>
  <w:num w:numId="12">
    <w:abstractNumId w:val="7"/>
  </w:num>
  <w:num w:numId="13">
    <w:abstractNumId w:val="4"/>
  </w:num>
  <w:num w:numId="14">
    <w:abstractNumId w:val="10"/>
  </w:num>
  <w:num w:numId="15">
    <w:abstractNumId w:val="23"/>
  </w:num>
  <w:num w:numId="16">
    <w:abstractNumId w:val="17"/>
  </w:num>
  <w:num w:numId="17">
    <w:abstractNumId w:val="12"/>
  </w:num>
  <w:num w:numId="18">
    <w:abstractNumId w:val="1"/>
  </w:num>
  <w:num w:numId="19">
    <w:abstractNumId w:val="2"/>
  </w:num>
  <w:num w:numId="20">
    <w:abstractNumId w:val="8"/>
  </w:num>
  <w:num w:numId="21">
    <w:abstractNumId w:val="20"/>
  </w:num>
  <w:num w:numId="22">
    <w:abstractNumId w:val="9"/>
  </w:num>
  <w:num w:numId="23">
    <w:abstractNumId w:val="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5F7"/>
    <w:rsid w:val="00036EB5"/>
    <w:rsid w:val="000763FE"/>
    <w:rsid w:val="000848A8"/>
    <w:rsid w:val="000B4759"/>
    <w:rsid w:val="001105F7"/>
    <w:rsid w:val="001300EE"/>
    <w:rsid w:val="001375A6"/>
    <w:rsid w:val="001417BC"/>
    <w:rsid w:val="001E5AE0"/>
    <w:rsid w:val="00211B96"/>
    <w:rsid w:val="00231323"/>
    <w:rsid w:val="00295727"/>
    <w:rsid w:val="002C26D4"/>
    <w:rsid w:val="002C770F"/>
    <w:rsid w:val="002D6C4A"/>
    <w:rsid w:val="00307A43"/>
    <w:rsid w:val="00313F67"/>
    <w:rsid w:val="00467141"/>
    <w:rsid w:val="004D6658"/>
    <w:rsid w:val="00530768"/>
    <w:rsid w:val="00533D80"/>
    <w:rsid w:val="005A1713"/>
    <w:rsid w:val="005F2662"/>
    <w:rsid w:val="00621059"/>
    <w:rsid w:val="006472F7"/>
    <w:rsid w:val="006C0888"/>
    <w:rsid w:val="006F77A0"/>
    <w:rsid w:val="00703668"/>
    <w:rsid w:val="00715BAF"/>
    <w:rsid w:val="00737F06"/>
    <w:rsid w:val="0075068E"/>
    <w:rsid w:val="00755D04"/>
    <w:rsid w:val="00770FB3"/>
    <w:rsid w:val="007B2DEA"/>
    <w:rsid w:val="007D7AE2"/>
    <w:rsid w:val="0083229C"/>
    <w:rsid w:val="0083736B"/>
    <w:rsid w:val="008C7D08"/>
    <w:rsid w:val="008F0749"/>
    <w:rsid w:val="0095576B"/>
    <w:rsid w:val="00977A09"/>
    <w:rsid w:val="009F0D8F"/>
    <w:rsid w:val="00A26E30"/>
    <w:rsid w:val="00A42EB0"/>
    <w:rsid w:val="00A76A56"/>
    <w:rsid w:val="00AF168D"/>
    <w:rsid w:val="00B13B83"/>
    <w:rsid w:val="00B345F6"/>
    <w:rsid w:val="00B51AFE"/>
    <w:rsid w:val="00B8504C"/>
    <w:rsid w:val="00B9126C"/>
    <w:rsid w:val="00C16929"/>
    <w:rsid w:val="00C5409B"/>
    <w:rsid w:val="00C74955"/>
    <w:rsid w:val="00C92394"/>
    <w:rsid w:val="00D479CD"/>
    <w:rsid w:val="00D97685"/>
    <w:rsid w:val="00E378BF"/>
    <w:rsid w:val="00E65F5E"/>
    <w:rsid w:val="00E9754D"/>
    <w:rsid w:val="00EC423B"/>
    <w:rsid w:val="00F126A2"/>
    <w:rsid w:val="00F500F0"/>
    <w:rsid w:val="00F555E3"/>
    <w:rsid w:val="00F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749"/>
    <w:pPr>
      <w:spacing w:after="120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7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07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42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05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05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F074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ListParagraph">
    <w:name w:val="List Paragraph"/>
    <w:basedOn w:val="Normal"/>
    <w:uiPriority w:val="34"/>
    <w:qFormat/>
    <w:rsid w:val="001105F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F0749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423B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6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7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97685"/>
    <w:rPr>
      <w:color w:val="0000FF"/>
      <w:u w:val="single"/>
    </w:rPr>
  </w:style>
  <w:style w:type="table" w:styleId="LightList-Accent1">
    <w:name w:val="Light List Accent 1"/>
    <w:basedOn w:val="TableNormal"/>
    <w:uiPriority w:val="61"/>
    <w:rsid w:val="00F500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B13B8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3B8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13B8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15B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0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888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6C0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888"/>
    <w:rPr>
      <w:sz w:val="18"/>
    </w:rPr>
  </w:style>
  <w:style w:type="paragraph" w:styleId="NoSpacing">
    <w:name w:val="No Spacing"/>
    <w:link w:val="NoSpacingChar"/>
    <w:uiPriority w:val="1"/>
    <w:qFormat/>
    <w:rsid w:val="006C0888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C0888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749"/>
    <w:pPr>
      <w:spacing w:after="120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7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07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42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05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05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F074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ListParagraph">
    <w:name w:val="List Paragraph"/>
    <w:basedOn w:val="Normal"/>
    <w:uiPriority w:val="34"/>
    <w:qFormat/>
    <w:rsid w:val="001105F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F0749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423B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6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7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97685"/>
    <w:rPr>
      <w:color w:val="0000FF"/>
      <w:u w:val="single"/>
    </w:rPr>
  </w:style>
  <w:style w:type="table" w:styleId="LightList-Accent1">
    <w:name w:val="Light List Accent 1"/>
    <w:basedOn w:val="TableNormal"/>
    <w:uiPriority w:val="61"/>
    <w:rsid w:val="00F500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B13B8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3B8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13B8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15B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0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888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6C0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888"/>
    <w:rPr>
      <w:sz w:val="18"/>
    </w:rPr>
  </w:style>
  <w:style w:type="paragraph" w:styleId="NoSpacing">
    <w:name w:val="No Spacing"/>
    <w:link w:val="NoSpacingChar"/>
    <w:uiPriority w:val="1"/>
    <w:qFormat/>
    <w:rsid w:val="006C0888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C0888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26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1.png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yperlink" Target="http://www.isocat.org/datcat/DC-3759" TargetMode="External"/><Relationship Id="rId41" Type="http://schemas.openxmlformats.org/officeDocument/2006/relationships/image" Target="media/image2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yperlink" Target="http://www.isocat.org/datcat/DC-2482" TargetMode="External"/><Relationship Id="rId36" Type="http://schemas.openxmlformats.org/officeDocument/2006/relationships/image" Target="media/image23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yperlink" Target="http://www.isocat.org/datcat/DC-3759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yperlink" Target="http://www.isocat.org/datcat/DC-2484" TargetMode="External"/><Relationship Id="rId30" Type="http://schemas.openxmlformats.org/officeDocument/2006/relationships/hyperlink" Target="http://www.isocat.org/datcat/DC-2534" TargetMode="External"/><Relationship Id="rId35" Type="http://schemas.openxmlformats.org/officeDocument/2006/relationships/image" Target="media/image22.png"/><Relationship Id="rId43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meld.org/workshop/2005/papers/saulwick-pap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AB4CB-AEF0-4B18-93E2-B495582A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Menzo Windhouwer</dc:creator>
  <cp:lastModifiedBy>Menzo Windhouwer</cp:lastModifiedBy>
  <cp:revision>29</cp:revision>
  <cp:lastPrinted>2012-05-17T06:45:00Z</cp:lastPrinted>
  <dcterms:created xsi:type="dcterms:W3CDTF">2012-05-15T15:56:00Z</dcterms:created>
  <dcterms:modified xsi:type="dcterms:W3CDTF">2012-06-15T14:25:00Z</dcterms:modified>
</cp:coreProperties>
</file>